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2953AF0A" w:rsidR="00A85487" w:rsidRPr="00CC4FE3" w:rsidRDefault="004D6B28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Talent Acquisition</w:t>
      </w:r>
      <w:r w:rsidR="00ED0002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 Manager</w:t>
      </w:r>
      <w:r w:rsidR="002976D5" w:rsidRPr="00CC4FE3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 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72C0FC54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9235C6" w:rsidRDefault="003E4AA3" w:rsidP="72C0FC54">
            <w:pPr>
              <w:rPr>
                <w:rFonts w:eastAsiaTheme="minorEastAsia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 xml:space="preserve">Job </w:t>
            </w:r>
            <w:r w:rsidR="5656A44D" w:rsidRPr="72C0FC54">
              <w:rPr>
                <w:rFonts w:eastAsiaTheme="minorEastAsia"/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4AAB1F40" w:rsidR="003E4AA3" w:rsidRPr="008026AD" w:rsidRDefault="00EB316A" w:rsidP="72C0FC54">
            <w:pPr>
              <w:rPr>
                <w:rFonts w:eastAsiaTheme="minorEastAsia"/>
                <w:b/>
                <w:bCs/>
              </w:rPr>
            </w:pPr>
            <w:r w:rsidRPr="72C0FC54">
              <w:rPr>
                <w:rFonts w:eastAsiaTheme="minorEastAsia"/>
                <w:b/>
                <w:bCs/>
              </w:rPr>
              <w:t>Level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72C0FC54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3BE52E28" w:rsidR="003E4AA3" w:rsidRPr="008026AD" w:rsidRDefault="00EB316A" w:rsidP="72C0FC54">
            <w:pPr>
              <w:rPr>
                <w:rFonts w:eastAsiaTheme="minorEastAsia"/>
                <w:b/>
                <w:bCs/>
              </w:rPr>
            </w:pPr>
            <w:r w:rsidRPr="72C0FC54">
              <w:rPr>
                <w:rFonts w:eastAsiaTheme="minorEastAsia"/>
                <w:b/>
                <w:bCs/>
              </w:rPr>
              <w:t>Head of People Partnering</w:t>
            </w:r>
          </w:p>
        </w:tc>
      </w:tr>
      <w:tr w:rsidR="003E4AA3" w14:paraId="3C2068F7" w14:textId="77777777" w:rsidTr="72C0FC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 w:rsidP="72C0FC54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72FBBE00" w:rsidR="003E4AA3" w:rsidRPr="00EB316A" w:rsidRDefault="00EB316A" w:rsidP="72C0FC54">
            <w:pPr>
              <w:rPr>
                <w:rFonts w:eastAsiaTheme="minorEastAsia"/>
                <w:b/>
                <w:bCs/>
              </w:rPr>
            </w:pPr>
            <w:r w:rsidRPr="72C0FC54">
              <w:rPr>
                <w:rFonts w:eastAsiaTheme="minorEastAsia"/>
                <w:b/>
                <w:bCs/>
              </w:rPr>
              <w:t>People</w:t>
            </w:r>
          </w:p>
          <w:p w14:paraId="0E58A214" w14:textId="77777777" w:rsidR="003E4AA3" w:rsidRPr="003E4AA3" w:rsidRDefault="003E4AA3" w:rsidP="72C0FC54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 w:rsidP="72C0FC54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68223FFE" w:rsidR="003E4AA3" w:rsidRPr="008026AD" w:rsidRDefault="00EB316A" w:rsidP="72C0FC54">
            <w:pPr>
              <w:rPr>
                <w:rFonts w:eastAsiaTheme="minorEastAsia"/>
                <w:b/>
                <w:bCs/>
              </w:rPr>
            </w:pPr>
            <w:r w:rsidRPr="72C0FC54">
              <w:rPr>
                <w:rFonts w:eastAsiaTheme="minorEastAsia"/>
                <w:b/>
                <w:bCs/>
              </w:rPr>
              <w:t>Human Resources</w:t>
            </w:r>
          </w:p>
        </w:tc>
      </w:tr>
      <w:tr w:rsidR="008479A5" w14:paraId="615BAF68" w14:textId="77777777" w:rsidTr="72C0FC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 w:rsidP="72C0FC54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3763E7EE" w:rsidR="008479A5" w:rsidRPr="008026AD" w:rsidRDefault="00EB316A" w:rsidP="72C0FC54">
            <w:pPr>
              <w:rPr>
                <w:rFonts w:eastAsiaTheme="minorEastAsia"/>
                <w:b/>
                <w:bCs/>
              </w:rPr>
            </w:pPr>
            <w:r w:rsidRPr="72C0FC54">
              <w:rPr>
                <w:rFonts w:eastAsiaTheme="minorEastAsia"/>
                <w:b/>
                <w:bCs/>
              </w:rPr>
              <w:t xml:space="preserve">Permanent </w:t>
            </w:r>
          </w:p>
          <w:p w14:paraId="3891DEE1" w14:textId="4BD55B57" w:rsidR="008479A5" w:rsidRDefault="008479A5" w:rsidP="72C0FC54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 w:rsidP="72C0FC54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18FCC7A5" w:rsidR="008479A5" w:rsidRPr="008026AD" w:rsidRDefault="006352C5" w:rsidP="72C0FC54">
            <w:pPr>
              <w:rPr>
                <w:rFonts w:eastAsiaTheme="minorEastAsia"/>
                <w:b/>
                <w:bCs/>
              </w:rPr>
            </w:pPr>
            <w:r w:rsidRPr="72C0FC54">
              <w:rPr>
                <w:rFonts w:eastAsiaTheme="minorEastAsia"/>
                <w:b/>
                <w:bCs/>
              </w:rPr>
              <w:t xml:space="preserve">Regent’s Park </w:t>
            </w:r>
          </w:p>
        </w:tc>
      </w:tr>
      <w:bookmarkEnd w:id="0"/>
    </w:tbl>
    <w:p w14:paraId="08C5A71A" w14:textId="77777777" w:rsidR="00A85487" w:rsidRPr="001862B4" w:rsidRDefault="00A85487" w:rsidP="72C0FC54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14:paraId="33AF7F48" w14:textId="40BB732A" w:rsidR="00A07430" w:rsidRPr="00CC4FE3" w:rsidRDefault="00A07430" w:rsidP="72C0FC54">
      <w:pPr>
        <w:jc w:val="both"/>
        <w:rPr>
          <w:rFonts w:asciiTheme="minorHAnsi" w:eastAsiaTheme="minorEastAsia" w:hAnsiTheme="minorHAnsi" w:cstheme="minorBidi"/>
          <w:b/>
          <w:bCs/>
          <w:color w:val="006600"/>
          <w:sz w:val="32"/>
          <w:szCs w:val="32"/>
        </w:rPr>
      </w:pPr>
      <w:r w:rsidRPr="72C0FC54">
        <w:rPr>
          <w:rFonts w:asciiTheme="minorHAnsi" w:eastAsiaTheme="minorEastAsia" w:hAnsiTheme="minorHAnsi" w:cstheme="minorBidi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72C0FC54">
      <w:pPr>
        <w:jc w:val="both"/>
        <w:rPr>
          <w:rFonts w:asciiTheme="minorHAnsi" w:eastAsiaTheme="minorEastAsia" w:hAnsiTheme="minorHAnsi" w:cstheme="minorBidi"/>
          <w:color w:val="244061" w:themeColor="accent1" w:themeShade="80"/>
          <w:sz w:val="32"/>
          <w:szCs w:val="32"/>
        </w:rPr>
      </w:pPr>
    </w:p>
    <w:tbl>
      <w:tblPr>
        <w:tblStyle w:val="TableGrid"/>
        <w:tblW w:w="9017" w:type="dxa"/>
        <w:tblInd w:w="0" w:type="dxa"/>
        <w:tblLook w:val="04A0" w:firstRow="1" w:lastRow="0" w:firstColumn="1" w:lastColumn="0" w:noHBand="0" w:noVBand="1"/>
      </w:tblPr>
      <w:tblGrid>
        <w:gridCol w:w="1402"/>
        <w:gridCol w:w="2741"/>
        <w:gridCol w:w="1755"/>
        <w:gridCol w:w="3119"/>
      </w:tblGrid>
      <w:tr w:rsidR="003F1AA6" w:rsidRPr="003E4AA3" w14:paraId="30796C19" w14:textId="77777777" w:rsidTr="72C0FC54">
        <w:trPr>
          <w:trHeight w:val="59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72C0FC54">
            <w:pPr>
              <w:rPr>
                <w:rFonts w:eastAsiaTheme="minorEastAsia"/>
                <w:b/>
                <w:bCs/>
                <w:color w:val="FFFFFF" w:themeColor="background1"/>
                <w:sz w:val="22"/>
              </w:rPr>
            </w:pPr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5559D0D5" w:rsidR="008E3454" w:rsidRPr="008026AD" w:rsidRDefault="006B774D" w:rsidP="72C0FC54">
            <w:pPr>
              <w:rPr>
                <w:rFonts w:eastAsiaTheme="minorEastAsia"/>
                <w:b/>
                <w:bCs/>
              </w:rPr>
            </w:pPr>
            <w:r w:rsidRPr="72C0FC54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72C0FC54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>Responsibility</w:t>
            </w:r>
            <w:r w:rsidR="008E3454" w:rsidRPr="72C0FC54">
              <w:rPr>
                <w:rFonts w:eastAsiaTheme="minorEastAsia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2FF9767C" w:rsidR="008E3454" w:rsidRPr="008026AD" w:rsidRDefault="003F1AA6" w:rsidP="72C0FC54">
            <w:pPr>
              <w:rPr>
                <w:rFonts w:eastAsiaTheme="minorEastAsia"/>
                <w:b/>
                <w:bCs/>
              </w:rPr>
            </w:pPr>
            <w:r w:rsidRPr="72C0FC54">
              <w:rPr>
                <w:rFonts w:eastAsiaTheme="minorEastAsia"/>
                <w:b/>
                <w:bCs/>
              </w:rPr>
              <w:t>Confidentiality of candidate data</w:t>
            </w:r>
          </w:p>
        </w:tc>
      </w:tr>
      <w:tr w:rsidR="003F1AA6" w:rsidRPr="003E4AA3" w14:paraId="24F406F4" w14:textId="77777777" w:rsidTr="72C0FC54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72C0FC54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72C0FC54">
              <w:rPr>
                <w:rFonts w:eastAsiaTheme="minorEastAsia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615D6C52" w:rsidR="008E3454" w:rsidRPr="008026AD" w:rsidRDefault="003F1AA6" w:rsidP="00373F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100k</w:t>
            </w:r>
          </w:p>
        </w:tc>
        <w:tc>
          <w:tcPr>
            <w:tcW w:w="1755" w:type="dxa"/>
            <w:vMerge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19" w:type="dxa"/>
            <w:vMerge/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807F235" w14:textId="6FEE1B4D" w:rsidR="00BA0C98" w:rsidRPr="00E26763" w:rsidRDefault="00E26763" w:rsidP="0085285E">
      <w:pPr>
        <w:jc w:val="both"/>
        <w:rPr>
          <w:rFonts w:asciiTheme="minorHAnsi" w:hAnsiTheme="minorHAnsi" w:cs="Arial"/>
          <w:sz w:val="22"/>
          <w:szCs w:val="22"/>
        </w:rPr>
      </w:pPr>
      <w:r w:rsidRPr="00E26763">
        <w:rPr>
          <w:rFonts w:asciiTheme="minorHAnsi" w:hAnsiTheme="minorHAnsi" w:cs="Arial"/>
          <w:sz w:val="22"/>
          <w:szCs w:val="22"/>
        </w:rPr>
        <w:t xml:space="preserve">The </w:t>
      </w:r>
      <w:r w:rsidR="00D53F05">
        <w:rPr>
          <w:rFonts w:asciiTheme="minorHAnsi" w:hAnsiTheme="minorHAnsi" w:cs="Arial"/>
          <w:sz w:val="22"/>
          <w:szCs w:val="22"/>
        </w:rPr>
        <w:t xml:space="preserve">Talent Acquisition </w:t>
      </w:r>
      <w:r>
        <w:rPr>
          <w:rFonts w:asciiTheme="minorHAnsi" w:hAnsiTheme="minorHAnsi" w:cs="Arial"/>
          <w:sz w:val="22"/>
          <w:szCs w:val="22"/>
        </w:rPr>
        <w:t xml:space="preserve">Manager </w:t>
      </w:r>
      <w:r w:rsidRPr="00E26763">
        <w:rPr>
          <w:rFonts w:asciiTheme="minorHAnsi" w:hAnsiTheme="minorHAnsi" w:cs="Arial"/>
          <w:sz w:val="22"/>
          <w:szCs w:val="22"/>
        </w:rPr>
        <w:t>leads ZSL’s recruitment</w:t>
      </w:r>
      <w:r>
        <w:rPr>
          <w:rFonts w:asciiTheme="minorHAnsi" w:hAnsiTheme="minorHAnsi" w:cs="Arial"/>
          <w:sz w:val="22"/>
          <w:szCs w:val="22"/>
        </w:rPr>
        <w:t xml:space="preserve"> team</w:t>
      </w:r>
      <w:r w:rsidRPr="00E26763">
        <w:rPr>
          <w:rFonts w:asciiTheme="minorHAnsi" w:hAnsiTheme="minorHAnsi" w:cs="Arial"/>
          <w:sz w:val="22"/>
          <w:szCs w:val="22"/>
        </w:rPr>
        <w:t xml:space="preserve">, ensuring </w:t>
      </w:r>
      <w:r w:rsidR="00515715">
        <w:rPr>
          <w:rFonts w:asciiTheme="minorHAnsi" w:hAnsiTheme="minorHAnsi" w:cs="Arial"/>
          <w:sz w:val="22"/>
          <w:szCs w:val="22"/>
        </w:rPr>
        <w:t xml:space="preserve">ZSL </w:t>
      </w:r>
      <w:r w:rsidRPr="00E26763">
        <w:rPr>
          <w:rFonts w:asciiTheme="minorHAnsi" w:hAnsiTheme="minorHAnsi" w:cs="Arial"/>
          <w:sz w:val="22"/>
          <w:szCs w:val="22"/>
        </w:rPr>
        <w:t>meets its long-term talent needs through proactive resourcing, strategic planning, and a focus on diversity, equity, and inclusion. This role is responsible for</w:t>
      </w:r>
      <w:r w:rsidR="002C2FF7">
        <w:rPr>
          <w:rFonts w:asciiTheme="minorHAnsi" w:hAnsiTheme="minorHAnsi" w:cs="Arial"/>
          <w:sz w:val="22"/>
          <w:szCs w:val="22"/>
        </w:rPr>
        <w:t xml:space="preserve"> our applicant tracking system,</w:t>
      </w:r>
      <w:r w:rsidRPr="00E26763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E26763">
        <w:rPr>
          <w:rFonts w:asciiTheme="minorHAnsi" w:hAnsiTheme="minorHAnsi" w:cs="Arial"/>
          <w:sz w:val="22"/>
          <w:szCs w:val="22"/>
        </w:rPr>
        <w:t>developing</w:t>
      </w:r>
      <w:proofErr w:type="gramEnd"/>
      <w:r w:rsidRPr="00E26763">
        <w:rPr>
          <w:rFonts w:asciiTheme="minorHAnsi" w:hAnsiTheme="minorHAnsi" w:cs="Arial"/>
          <w:sz w:val="22"/>
          <w:szCs w:val="22"/>
        </w:rPr>
        <w:t xml:space="preserve"> and implementing talent acquisition strategies across all recruitment phases, enhancing ZSL's talent brand, and embedding best practices in hiring to meet organi</w:t>
      </w:r>
      <w:r w:rsidR="002C2FF7">
        <w:rPr>
          <w:rFonts w:asciiTheme="minorHAnsi" w:hAnsiTheme="minorHAnsi" w:cs="Arial"/>
          <w:sz w:val="22"/>
          <w:szCs w:val="22"/>
        </w:rPr>
        <w:t>s</w:t>
      </w:r>
      <w:r w:rsidRPr="00E26763">
        <w:rPr>
          <w:rFonts w:asciiTheme="minorHAnsi" w:hAnsiTheme="minorHAnsi" w:cs="Arial"/>
          <w:sz w:val="22"/>
          <w:szCs w:val="22"/>
        </w:rPr>
        <w:t>ational goals.</w:t>
      </w:r>
    </w:p>
    <w:p w14:paraId="3FF2EFBA" w14:textId="77777777" w:rsidR="009C5955" w:rsidRPr="009C5955" w:rsidRDefault="009C5955" w:rsidP="001862B4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2524E267" w14:textId="4D592F56" w:rsidR="00BA0C98" w:rsidRPr="00645F8F" w:rsidRDefault="00645F8F" w:rsidP="00645F8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45F8F">
        <w:rPr>
          <w:rFonts w:asciiTheme="minorHAnsi" w:hAnsiTheme="minorHAnsi" w:cs="Arial"/>
          <w:b/>
          <w:bCs/>
          <w:sz w:val="22"/>
          <w:szCs w:val="22"/>
        </w:rPr>
        <w:t>Inclusive recruitment</w:t>
      </w:r>
    </w:p>
    <w:p w14:paraId="0DFE0DC9" w14:textId="68376544" w:rsidR="00826F28" w:rsidRPr="00826F28" w:rsidRDefault="00826F28" w:rsidP="00ED0002">
      <w:pPr>
        <w:pStyle w:val="ListParagraph"/>
        <w:numPr>
          <w:ilvl w:val="0"/>
          <w:numId w:val="5"/>
        </w:numPr>
        <w:jc w:val="both"/>
      </w:pPr>
      <w:r w:rsidRPr="00826F28">
        <w:t>Use data-driven insights to evaluate and enhance recruitment practices, embedding EDI-focused interventions that ensure equitable hiring processes and inclusive outcomes across all candidate touchpoints.</w:t>
      </w:r>
    </w:p>
    <w:p w14:paraId="3D6CD562" w14:textId="1171E173" w:rsidR="00D316E8" w:rsidRPr="00645F8F" w:rsidRDefault="00826F28" w:rsidP="00ED0002">
      <w:pPr>
        <w:pStyle w:val="ListParagraph"/>
        <w:numPr>
          <w:ilvl w:val="0"/>
          <w:numId w:val="5"/>
        </w:numPr>
        <w:jc w:val="both"/>
      </w:pPr>
      <w:r w:rsidRPr="00645F8F">
        <w:t>Drive initiatives that expand access to diverse talent pools, ensuring representation and inclusivity at all stages of the recruitment lifecycle.</w:t>
      </w:r>
    </w:p>
    <w:p w14:paraId="41597D82" w14:textId="273FC177" w:rsidR="00645F8F" w:rsidRPr="00467EA2" w:rsidRDefault="00645F8F" w:rsidP="00ED0002">
      <w:pPr>
        <w:pStyle w:val="ListParagraph"/>
        <w:numPr>
          <w:ilvl w:val="0"/>
          <w:numId w:val="5"/>
        </w:numPr>
        <w:jc w:val="both"/>
        <w:rPr>
          <w:rFonts w:cs="Arial"/>
          <w:szCs w:val="24"/>
        </w:rPr>
      </w:pPr>
      <w:r>
        <w:t>Manage ZSL’s Home Office sponsorship license, providing strategic guidance to hiring managers on compliance and international hiring, and creating a seamless onboarding journey for sponsored staff.</w:t>
      </w:r>
    </w:p>
    <w:p w14:paraId="0A895DCE" w14:textId="5C3E32E5" w:rsidR="00467EA2" w:rsidRPr="00645F8F" w:rsidRDefault="00467EA2" w:rsidP="00ED0002">
      <w:pPr>
        <w:pStyle w:val="ListParagraph"/>
        <w:numPr>
          <w:ilvl w:val="0"/>
          <w:numId w:val="5"/>
        </w:numPr>
        <w:jc w:val="both"/>
        <w:rPr>
          <w:rFonts w:cs="Arial"/>
          <w:szCs w:val="24"/>
        </w:rPr>
      </w:pPr>
      <w:r>
        <w:t>Design and manage</w:t>
      </w:r>
      <w:r w:rsidR="00665F1E">
        <w:t xml:space="preserve"> inclusive</w:t>
      </w:r>
      <w:r>
        <w:t xml:space="preserve"> talent pipelines, including the creation of strategic talent pools for annual recruitment cycles, and lead resourcing plans for seasonal and cyclical hiring in partnership with Senior HR Business Partners</w:t>
      </w:r>
      <w:r w:rsidR="00665F1E">
        <w:t xml:space="preserve"> and Early Careers Manager</w:t>
      </w:r>
      <w:r>
        <w:t>.</w:t>
      </w:r>
    </w:p>
    <w:p w14:paraId="54566AE8" w14:textId="07FD0531" w:rsidR="00645F8F" w:rsidRDefault="008F0245" w:rsidP="00645F8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F0245">
        <w:rPr>
          <w:rFonts w:asciiTheme="minorHAnsi" w:hAnsiTheme="minorHAnsi" w:cs="Arial"/>
          <w:b/>
          <w:bCs/>
          <w:sz w:val="22"/>
          <w:szCs w:val="22"/>
        </w:rPr>
        <w:lastRenderedPageBreak/>
        <w:t>Talent Acquisition</w:t>
      </w:r>
    </w:p>
    <w:p w14:paraId="628F6733" w14:textId="64F3FF39" w:rsidR="00DF78AC" w:rsidRPr="00DF78AC" w:rsidRDefault="00DF78AC" w:rsidP="00ED0002">
      <w:pPr>
        <w:pStyle w:val="ListParagraph"/>
        <w:numPr>
          <w:ilvl w:val="0"/>
          <w:numId w:val="5"/>
        </w:numPr>
        <w:jc w:val="both"/>
      </w:pPr>
      <w:r>
        <w:t>Provide</w:t>
      </w:r>
      <w:r w:rsidR="10A846CC">
        <w:t xml:space="preserve"> day-to-day</w:t>
      </w:r>
      <w:r>
        <w:t xml:space="preserve"> support to recruiting managers on timelines, role scoping, and recruitment administration when necessary to ensure alignment with strategic goals and a positive candidate experience.</w:t>
      </w:r>
    </w:p>
    <w:p w14:paraId="39BA11B0" w14:textId="758F35DE" w:rsidR="008F0245" w:rsidRDefault="00DC140E" w:rsidP="00ED0002">
      <w:pPr>
        <w:pStyle w:val="ListParagraph"/>
        <w:numPr>
          <w:ilvl w:val="0"/>
          <w:numId w:val="5"/>
        </w:numPr>
        <w:jc w:val="both"/>
      </w:pPr>
      <w:r>
        <w:t>Lead the development and execution of organi</w:t>
      </w:r>
      <w:r w:rsidR="002830F5">
        <w:t>s</w:t>
      </w:r>
      <w:r>
        <w:t>ation-wide talent strategies, employer branding, attraction, candidate experience, and selection to meet the organization’s current and future needs.</w:t>
      </w:r>
    </w:p>
    <w:p w14:paraId="36EA1FA9" w14:textId="15AE8218" w:rsidR="00205D29" w:rsidRDefault="00205D29" w:rsidP="00ED0002">
      <w:pPr>
        <w:pStyle w:val="ListParagraph"/>
        <w:numPr>
          <w:ilvl w:val="0"/>
          <w:numId w:val="5"/>
        </w:numPr>
        <w:jc w:val="both"/>
      </w:pPr>
      <w:r>
        <w:t>Develop and deliver a comprehensive recruitment training program</w:t>
      </w:r>
      <w:r w:rsidR="00023328">
        <w:t>me</w:t>
      </w:r>
      <w:r>
        <w:t xml:space="preserve"> to equip hiring managers with </w:t>
      </w:r>
      <w:r w:rsidR="00402388">
        <w:t>skills and knowledge to</w:t>
      </w:r>
      <w:r>
        <w:t xml:space="preserve"> ensur</w:t>
      </w:r>
      <w:r w:rsidR="00402388">
        <w:t>e</w:t>
      </w:r>
      <w:r>
        <w:t xml:space="preserve"> an efficient, consistent, and positive experience for all stakeholders involved in the talent acquisition process.</w:t>
      </w:r>
    </w:p>
    <w:p w14:paraId="458C8E5F" w14:textId="4964B114" w:rsidR="00DC140E" w:rsidRDefault="00EE3068" w:rsidP="00ED0002">
      <w:pPr>
        <w:pStyle w:val="ListParagraph"/>
        <w:numPr>
          <w:ilvl w:val="0"/>
          <w:numId w:val="5"/>
        </w:numPr>
        <w:jc w:val="both"/>
      </w:pPr>
      <w:r>
        <w:t>Strengthen direct sourcing methods, driving down third-party spend while maintaining quality of hire and time-to-</w:t>
      </w:r>
      <w:r w:rsidR="000A75B2">
        <w:t>hire</w:t>
      </w:r>
      <w:r>
        <w:t xml:space="preserve"> </w:t>
      </w:r>
      <w:proofErr w:type="gramStart"/>
      <w:r>
        <w:t>standards</w:t>
      </w:r>
      <w:proofErr w:type="gramEnd"/>
    </w:p>
    <w:p w14:paraId="04115469" w14:textId="4863B24A" w:rsidR="00561C09" w:rsidRDefault="00561C09" w:rsidP="00ED0002">
      <w:pPr>
        <w:pStyle w:val="ListParagraph"/>
        <w:numPr>
          <w:ilvl w:val="0"/>
          <w:numId w:val="5"/>
        </w:numPr>
        <w:jc w:val="both"/>
      </w:pPr>
      <w:r>
        <w:t>Collaborate with department leaders and Senior HR Business Partners to diagnose and address hiring needs for high-impact and hard-to-fill roles, developing proactive recruitment solutions</w:t>
      </w:r>
      <w:r w:rsidR="18D5126E">
        <w:t xml:space="preserve">, </w:t>
      </w:r>
      <w:proofErr w:type="gramStart"/>
      <w:r w:rsidR="18D5126E">
        <w:t>training</w:t>
      </w:r>
      <w:proofErr w:type="gramEnd"/>
      <w:r w:rsidR="18D5126E">
        <w:t xml:space="preserve"> and development</w:t>
      </w:r>
      <w:r>
        <w:t xml:space="preserve"> to minimi</w:t>
      </w:r>
      <w:r w:rsidR="002830F5">
        <w:t>s</w:t>
      </w:r>
      <w:r>
        <w:t>e time-to-</w:t>
      </w:r>
      <w:r w:rsidR="009E2F06">
        <w:t>hire</w:t>
      </w:r>
      <w:r>
        <w:t>.</w:t>
      </w:r>
    </w:p>
    <w:p w14:paraId="23C30EC7" w14:textId="43946A46" w:rsidR="007A39E4" w:rsidRPr="007A39E4" w:rsidRDefault="007A39E4" w:rsidP="007A39E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A39E4">
        <w:rPr>
          <w:rFonts w:asciiTheme="minorHAnsi" w:hAnsiTheme="minorHAnsi" w:cs="Arial"/>
          <w:b/>
          <w:bCs/>
          <w:sz w:val="22"/>
          <w:szCs w:val="22"/>
        </w:rPr>
        <w:t>Data</w:t>
      </w:r>
      <w:r w:rsidR="00B0590E">
        <w:rPr>
          <w:rFonts w:asciiTheme="minorHAnsi" w:hAnsiTheme="minorHAnsi" w:cs="Arial"/>
          <w:b/>
          <w:bCs/>
          <w:sz w:val="22"/>
          <w:szCs w:val="22"/>
        </w:rPr>
        <w:t>,</w:t>
      </w:r>
      <w:r w:rsidRPr="007A39E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gramStart"/>
      <w:r w:rsidRPr="007A39E4">
        <w:rPr>
          <w:rFonts w:asciiTheme="minorHAnsi" w:hAnsiTheme="minorHAnsi" w:cs="Arial"/>
          <w:b/>
          <w:bCs/>
          <w:sz w:val="22"/>
          <w:szCs w:val="22"/>
        </w:rPr>
        <w:t>insight</w:t>
      </w:r>
      <w:proofErr w:type="gramEnd"/>
      <w:r w:rsidR="00B0590E">
        <w:rPr>
          <w:rFonts w:asciiTheme="minorHAnsi" w:hAnsiTheme="minorHAnsi" w:cs="Arial"/>
          <w:b/>
          <w:bCs/>
          <w:sz w:val="22"/>
          <w:szCs w:val="22"/>
        </w:rPr>
        <w:t xml:space="preserve"> and systems</w:t>
      </w:r>
    </w:p>
    <w:p w14:paraId="50C56DFA" w14:textId="40965536" w:rsidR="00B0590E" w:rsidRDefault="00CA79E1" w:rsidP="00ED0002">
      <w:pPr>
        <w:pStyle w:val="ListParagraph"/>
        <w:numPr>
          <w:ilvl w:val="0"/>
          <w:numId w:val="5"/>
        </w:numPr>
        <w:jc w:val="both"/>
      </w:pPr>
      <w:r>
        <w:t xml:space="preserve">Manage the recruitment system, ensuring its effective use across all hiring processes and driving continuous improvements for a seamless candidate and hiring manager </w:t>
      </w:r>
      <w:proofErr w:type="gramStart"/>
      <w:r>
        <w:t>experience</w:t>
      </w:r>
      <w:proofErr w:type="gramEnd"/>
    </w:p>
    <w:p w14:paraId="556E5421" w14:textId="45F7DC26" w:rsidR="007A39E4" w:rsidRDefault="007A39E4" w:rsidP="00ED0002">
      <w:pPr>
        <w:pStyle w:val="ListParagraph"/>
        <w:numPr>
          <w:ilvl w:val="0"/>
          <w:numId w:val="5"/>
        </w:numPr>
        <w:jc w:val="both"/>
      </w:pPr>
      <w:r>
        <w:t>Collaborate with the HR Systems and Data Officer to optimise the ZSL applicant tracking system (Eploy), driving forward system improvements</w:t>
      </w:r>
      <w:r w:rsidR="004440BC">
        <w:t>,</w:t>
      </w:r>
      <w:r>
        <w:t xml:space="preserve"> and leveraging recruitment data for</w:t>
      </w:r>
      <w:r w:rsidR="00245A80">
        <w:t xml:space="preserve"> </w:t>
      </w:r>
      <w:r>
        <w:t>enhanced decision-making and reporting.</w:t>
      </w:r>
    </w:p>
    <w:p w14:paraId="1D40BF90" w14:textId="66ABB5CA" w:rsidR="007B52BD" w:rsidRPr="00EE3068" w:rsidRDefault="00245A80" w:rsidP="00ED0002">
      <w:pPr>
        <w:pStyle w:val="ListParagraph"/>
        <w:numPr>
          <w:ilvl w:val="0"/>
          <w:numId w:val="5"/>
        </w:numPr>
        <w:jc w:val="both"/>
        <w:rPr>
          <w:rFonts w:cs="Arial"/>
        </w:rPr>
      </w:pPr>
      <w:r>
        <w:t xml:space="preserve">Analyse recruitment data to identify cost-saving opportunities and reduce dependency on third-party recruitment agencies. </w:t>
      </w:r>
      <w:r w:rsidR="007B52BD" w:rsidRPr="00EE3068">
        <w:rPr>
          <w:rFonts w:cs="Arial"/>
        </w:rPr>
        <w:t>The duties and responsibilities described are not a comprehensive list and additional tasks 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BE47DF8" w14:textId="5A5C8619" w:rsidR="00A36976" w:rsidRDefault="003B5FE2" w:rsidP="00CC7F40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Values and behaviours for people management</w:t>
      </w:r>
      <w:r w:rsidR="007D775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1ED50893" w14:textId="77777777" w:rsidR="008026AD" w:rsidRPr="008026AD" w:rsidRDefault="008026AD" w:rsidP="007A508E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6F3E9721" w14:textId="55058955" w:rsidR="00A36976" w:rsidRPr="00D26654" w:rsidRDefault="00A36976" w:rsidP="00ED0002">
      <w:pPr>
        <w:pStyle w:val="ListParagraph"/>
        <w:numPr>
          <w:ilvl w:val="0"/>
          <w:numId w:val="3"/>
        </w:numPr>
        <w:jc w:val="both"/>
        <w:rPr>
          <w:rFonts w:cs="Arial"/>
          <w:b/>
          <w:bCs/>
        </w:rPr>
      </w:pPr>
      <w:r w:rsidRPr="00D26654">
        <w:rPr>
          <w:rFonts w:cs="Arial"/>
          <w:b/>
          <w:bCs/>
        </w:rPr>
        <w:t>Collaborative:</w:t>
      </w:r>
      <w:r w:rsidR="00D26654">
        <w:rPr>
          <w:rFonts w:cs="Arial"/>
          <w:b/>
          <w:bCs/>
        </w:rPr>
        <w:t xml:space="preserve"> </w:t>
      </w:r>
      <w:r w:rsidR="00D26654">
        <w:t>creates an engaging environment where people feel comfortable asking for help or support</w:t>
      </w:r>
    </w:p>
    <w:p w14:paraId="46057E76" w14:textId="7FA7CA9F" w:rsidR="00A36976" w:rsidRPr="00D26654" w:rsidRDefault="00AE488E" w:rsidP="00ED0002">
      <w:pPr>
        <w:pStyle w:val="ListParagraph"/>
        <w:numPr>
          <w:ilvl w:val="0"/>
          <w:numId w:val="3"/>
        </w:numPr>
        <w:jc w:val="both"/>
        <w:rPr>
          <w:rFonts w:cs="Arial"/>
          <w:b/>
          <w:bCs/>
        </w:rPr>
      </w:pPr>
      <w:r w:rsidRPr="00D26654">
        <w:rPr>
          <w:rFonts w:cs="Arial"/>
          <w:b/>
          <w:bCs/>
        </w:rPr>
        <w:t>Ethical:</w:t>
      </w:r>
      <w:r w:rsidR="00D26654">
        <w:rPr>
          <w:rFonts w:cs="Arial"/>
          <w:b/>
          <w:bCs/>
        </w:rPr>
        <w:t xml:space="preserve"> </w:t>
      </w:r>
      <w:r w:rsidR="004C531D">
        <w:t>creates a culture which ensures everyone is treated fairly with dignity and respect</w:t>
      </w:r>
    </w:p>
    <w:p w14:paraId="2CF2F611" w14:textId="11299B51" w:rsidR="00AE488E" w:rsidRPr="00D26654" w:rsidRDefault="00AE488E" w:rsidP="00ED0002">
      <w:pPr>
        <w:pStyle w:val="ListParagraph"/>
        <w:numPr>
          <w:ilvl w:val="0"/>
          <w:numId w:val="3"/>
        </w:numPr>
        <w:jc w:val="both"/>
        <w:rPr>
          <w:rFonts w:cs="Arial"/>
          <w:b/>
          <w:bCs/>
        </w:rPr>
      </w:pPr>
      <w:r w:rsidRPr="00D26654">
        <w:rPr>
          <w:rFonts w:cs="Arial"/>
          <w:b/>
          <w:bCs/>
        </w:rPr>
        <w:t>Impactful:</w:t>
      </w:r>
      <w:r w:rsidR="00671C1A">
        <w:rPr>
          <w:rFonts w:cs="Arial"/>
          <w:b/>
          <w:bCs/>
        </w:rPr>
        <w:t xml:space="preserve"> </w:t>
      </w:r>
      <w:r w:rsidR="00CD5E36">
        <w:t>delivers results on time and to the agreed standards</w:t>
      </w:r>
    </w:p>
    <w:p w14:paraId="3734E2E2" w14:textId="49F95E14" w:rsidR="00AE488E" w:rsidRPr="00D26654" w:rsidRDefault="00AE488E" w:rsidP="00ED0002">
      <w:pPr>
        <w:pStyle w:val="ListParagraph"/>
        <w:numPr>
          <w:ilvl w:val="0"/>
          <w:numId w:val="3"/>
        </w:numPr>
        <w:jc w:val="both"/>
        <w:rPr>
          <w:rFonts w:cs="Arial"/>
          <w:b/>
          <w:bCs/>
        </w:rPr>
      </w:pPr>
      <w:r w:rsidRPr="00D26654">
        <w:rPr>
          <w:rFonts w:cs="Arial"/>
          <w:b/>
          <w:bCs/>
        </w:rPr>
        <w:t>Inclusive:</w:t>
      </w:r>
      <w:r w:rsidR="00671C1A" w:rsidRPr="00671C1A">
        <w:t xml:space="preserve"> </w:t>
      </w:r>
      <w:r w:rsidR="00671C1A">
        <w:t>makes decisions that promote transparency and inclusion</w:t>
      </w:r>
    </w:p>
    <w:p w14:paraId="0802FC00" w14:textId="41A922CE" w:rsidR="00AE488E" w:rsidRPr="00D26654" w:rsidRDefault="00AE488E" w:rsidP="00ED0002">
      <w:pPr>
        <w:pStyle w:val="ListParagraph"/>
        <w:numPr>
          <w:ilvl w:val="0"/>
          <w:numId w:val="3"/>
        </w:numPr>
        <w:jc w:val="both"/>
        <w:rPr>
          <w:rFonts w:cs="Arial"/>
          <w:b/>
          <w:bCs/>
        </w:rPr>
      </w:pPr>
      <w:r w:rsidRPr="00D26654">
        <w:rPr>
          <w:rFonts w:cs="Arial"/>
          <w:b/>
          <w:bCs/>
        </w:rPr>
        <w:t>Innovative:</w:t>
      </w:r>
      <w:r w:rsidR="00BF335F">
        <w:rPr>
          <w:rFonts w:cs="Arial"/>
          <w:b/>
          <w:bCs/>
        </w:rPr>
        <w:t xml:space="preserve"> </w:t>
      </w:r>
      <w:r w:rsidR="007B52BD">
        <w:t>i</w:t>
      </w:r>
      <w:r w:rsidR="00BF335F">
        <w:t>s forward thinking and able to see the broader picture when planning and organising work</w:t>
      </w:r>
    </w:p>
    <w:p w14:paraId="7D242078" w14:textId="2966D389" w:rsidR="00AE488E" w:rsidRPr="00D26654" w:rsidRDefault="00D26654" w:rsidP="00ED0002">
      <w:pPr>
        <w:pStyle w:val="ListParagraph"/>
        <w:numPr>
          <w:ilvl w:val="0"/>
          <w:numId w:val="3"/>
        </w:numPr>
        <w:jc w:val="both"/>
        <w:rPr>
          <w:rFonts w:cs="Arial"/>
          <w:b/>
          <w:bCs/>
        </w:rPr>
      </w:pPr>
      <w:r w:rsidRPr="00D26654">
        <w:rPr>
          <w:rFonts w:cs="Arial"/>
          <w:b/>
          <w:bCs/>
        </w:rPr>
        <w:t>Inspiring:</w:t>
      </w:r>
      <w:r w:rsidR="00CF5838">
        <w:rPr>
          <w:rFonts w:cs="Arial"/>
          <w:b/>
          <w:bCs/>
        </w:rPr>
        <w:t xml:space="preserve"> </w:t>
      </w:r>
      <w:r w:rsidR="007B52BD">
        <w:t>has</w:t>
      </w:r>
      <w:r w:rsidR="00CF5838">
        <w:t xml:space="preserve"> self-aware</w:t>
      </w:r>
      <w:r w:rsidR="007B52BD">
        <w:t>ness</w:t>
      </w:r>
      <w:r w:rsidR="00CF5838">
        <w:t xml:space="preserve"> and seeks feedback to better understand own style, </w:t>
      </w:r>
      <w:proofErr w:type="gramStart"/>
      <w:r w:rsidR="00CF5838">
        <w:t>approach</w:t>
      </w:r>
      <w:proofErr w:type="gramEnd"/>
      <w:r w:rsidR="00CF5838">
        <w:t xml:space="preserve"> and impact on team/staff motivation</w:t>
      </w:r>
    </w:p>
    <w:p w14:paraId="1A50BC68" w14:textId="77777777" w:rsidR="000B38F9" w:rsidRDefault="000B38F9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2F62D6A6" w14:textId="77777777" w:rsidR="000B38F9" w:rsidRDefault="000B38F9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67E9B5E3" w14:textId="77777777" w:rsidR="000B38F9" w:rsidRDefault="000B38F9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1FD69B1C" w14:textId="77777777" w:rsidR="000B38F9" w:rsidRDefault="000B38F9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239FC611" w14:textId="0BF3B796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lastRenderedPageBreak/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72C0FC54">
        <w:tc>
          <w:tcPr>
            <w:tcW w:w="9017" w:type="dxa"/>
            <w:gridSpan w:val="2"/>
            <w:shd w:val="clear" w:color="auto" w:fill="006600"/>
          </w:tcPr>
          <w:p w14:paraId="7E6B20F2" w14:textId="27A03D6D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Experien</w:t>
            </w:r>
            <w:r w:rsidRPr="00CC7F40">
              <w:rPr>
                <w:rFonts w:cs="Arial"/>
                <w:color w:val="FFFFFF" w:themeColor="background1"/>
                <w:szCs w:val="24"/>
                <w:highlight w:val="darkGreen"/>
              </w:rPr>
              <w:t>c</w:t>
            </w:r>
            <w:r w:rsidRPr="00CC7F40">
              <w:rPr>
                <w:rFonts w:cs="Arial"/>
                <w:color w:val="FFFFFF" w:themeColor="background1"/>
                <w:szCs w:val="24"/>
                <w:highlight w:val="darkGreen"/>
                <w:shd w:val="clear" w:color="auto" w:fill="0070C0"/>
              </w:rPr>
              <w:t>e</w:t>
            </w:r>
          </w:p>
        </w:tc>
      </w:tr>
      <w:tr w:rsidR="00E615A4" w14:paraId="4EB2D4DC" w14:textId="77777777" w:rsidTr="72C0FC54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0B4E7BB9" w14:textId="77777777" w:rsidR="00306590" w:rsidRPr="00852CC6" w:rsidRDefault="00852CC6" w:rsidP="00ED00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t>Proven track record in embedding EDI-focused recruitment practices to drive equitable hiring outcomes and support diverse talent pools.</w:t>
            </w:r>
          </w:p>
          <w:p w14:paraId="3CCF78D4" w14:textId="77777777" w:rsidR="00852CC6" w:rsidRPr="00164765" w:rsidRDefault="00852CC6" w:rsidP="00ED00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t>Demonstrated success in managing the recruitment lifecycle, from candidate attraction to selection, with experience in direct sourcing and talent pipeline development to minimize agency dependency.</w:t>
            </w:r>
          </w:p>
          <w:p w14:paraId="33AEA9BF" w14:textId="6C081513" w:rsidR="00164765" w:rsidRPr="00250375" w:rsidRDefault="00164765" w:rsidP="00ED00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t>Experience working with applicant tracking systems to drive process improvements and streamline recruitment workflows.</w:t>
            </w:r>
          </w:p>
        </w:tc>
      </w:tr>
      <w:tr w:rsidR="00E615A4" w14:paraId="62D3B963" w14:textId="77777777" w:rsidTr="72C0FC54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453A2614" w14:textId="55D4DD4D" w:rsidR="00E615A4" w:rsidRPr="00CC52BC" w:rsidRDefault="00906376" w:rsidP="00ED00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i/>
                <w:iCs/>
              </w:rPr>
            </w:pPr>
            <w:r w:rsidRPr="008573A9">
              <w:t xml:space="preserve">Experience of managing and developing </w:t>
            </w:r>
            <w:r w:rsidR="008573A9">
              <w:t xml:space="preserve">in-house </w:t>
            </w:r>
            <w:r w:rsidR="008573A9" w:rsidRPr="008573A9">
              <w:t>recruitment teams</w:t>
            </w:r>
          </w:p>
        </w:tc>
      </w:tr>
      <w:tr w:rsidR="00E615A4" w14:paraId="42DA08AD" w14:textId="77777777" w:rsidTr="72C0FC54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72C0FC54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79BC2C0A" w14:textId="6929B1E7" w:rsidR="00045823" w:rsidRPr="009F725C" w:rsidRDefault="009F725C" w:rsidP="00ED000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Strong understanding of equitable recruitment practices and the ability to design and implement EDI initiatives that support diverse, inclusive hiring.</w:t>
            </w:r>
          </w:p>
          <w:p w14:paraId="1981AE39" w14:textId="77777777" w:rsidR="0024644B" w:rsidRPr="002B7C75" w:rsidRDefault="002B7C75" w:rsidP="00ED00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t>Ability to advise and support hiring managers on best practices in recruitment, ensuring a positive and consistent candidate experience.</w:t>
            </w:r>
          </w:p>
          <w:p w14:paraId="481AC312" w14:textId="6CA93B11" w:rsidR="002B7C75" w:rsidRPr="00211147" w:rsidRDefault="002B7C75" w:rsidP="00ED00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t>Proficiency in analysing recruitment metrics and data to inform decisions,</w:t>
            </w:r>
            <w:r w:rsidR="00906376">
              <w:t xml:space="preserve"> </w:t>
            </w:r>
            <w:r>
              <w:t>identify efficiencies, and track recruitment performance.</w:t>
            </w:r>
          </w:p>
          <w:p w14:paraId="7CA3F70D" w14:textId="6E53386B" w:rsidR="00211147" w:rsidRPr="00211147" w:rsidRDefault="00211147" w:rsidP="00ED000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11147">
              <w:t>Excellent interpersonal and communication skills, with the ability to engage, influence, and partner effectively with senior leaders and stakeholders across the organization.</w:t>
            </w:r>
          </w:p>
          <w:p w14:paraId="29208BEF" w14:textId="3101C74B" w:rsidR="00211147" w:rsidRPr="00126385" w:rsidRDefault="4843B88C" w:rsidP="72C0FC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t xml:space="preserve">Skilled in </w:t>
            </w:r>
            <w:r w:rsidR="1CF25804">
              <w:t xml:space="preserve">training, </w:t>
            </w:r>
            <w:proofErr w:type="gramStart"/>
            <w:r>
              <w:t>coaching</w:t>
            </w:r>
            <w:proofErr w:type="gramEnd"/>
            <w:r>
              <w:t xml:space="preserve"> and developing hiring managers in recruitment best practices and compliance with UK Employment Law.</w:t>
            </w:r>
          </w:p>
        </w:tc>
      </w:tr>
      <w:tr w:rsidR="00E615A4" w14:paraId="1111DBEC" w14:textId="77777777" w:rsidTr="72C0FC54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  <w:tc>
          <w:tcPr>
            <w:tcW w:w="7746" w:type="dxa"/>
          </w:tcPr>
          <w:p w14:paraId="3D630830" w14:textId="087247E8" w:rsidR="00164765" w:rsidRPr="009F725C" w:rsidRDefault="00164765" w:rsidP="00ED00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F725C">
              <w:rPr>
                <w:rFonts w:cs="Arial"/>
                <w:szCs w:val="24"/>
              </w:rPr>
              <w:t>K</w:t>
            </w:r>
            <w:r w:rsidRPr="00164765">
              <w:rPr>
                <w:rFonts w:cs="Arial"/>
                <w:szCs w:val="24"/>
              </w:rPr>
              <w:t xml:space="preserve">nowledgeable in managing </w:t>
            </w:r>
            <w:proofErr w:type="gramStart"/>
            <w:r w:rsidRPr="00164765">
              <w:rPr>
                <w:rFonts w:cs="Arial"/>
                <w:szCs w:val="24"/>
              </w:rPr>
              <w:t>Home</w:t>
            </w:r>
            <w:proofErr w:type="gramEnd"/>
            <w:r w:rsidRPr="00164765">
              <w:rPr>
                <w:rFonts w:cs="Arial"/>
                <w:szCs w:val="24"/>
              </w:rPr>
              <w:t xml:space="preserve"> Office sponsorship licenses and compliance, with experience overseeing the recruitment and onboarding of international talent.</w:t>
            </w:r>
          </w:p>
          <w:p w14:paraId="0F1AC55B" w14:textId="55350625" w:rsidR="00043FED" w:rsidRPr="00906376" w:rsidRDefault="009F725C" w:rsidP="00ED00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272F34">
              <w:rPr>
                <w:rFonts w:cs="Arial"/>
                <w:szCs w:val="24"/>
              </w:rPr>
              <w:t>Advanced skills in using MS office packages, specifically Excel and</w:t>
            </w:r>
            <w:r>
              <w:rPr>
                <w:rFonts w:cs="Arial"/>
                <w:szCs w:val="24"/>
              </w:rPr>
              <w:t xml:space="preserve"> </w:t>
            </w:r>
            <w:r w:rsidRPr="00272F34">
              <w:rPr>
                <w:rFonts w:cs="Arial"/>
                <w:szCs w:val="24"/>
              </w:rPr>
              <w:t>PowerPoint or equivalent software packages will be acceptable.</w:t>
            </w:r>
          </w:p>
        </w:tc>
      </w:tr>
      <w:tr w:rsidR="00E615A4" w14:paraId="6B2039FF" w14:textId="77777777" w:rsidTr="72C0FC54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72C0FC54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208EE017" w14:textId="539CE7B4" w:rsidR="00CB4B12" w:rsidRPr="006106D1" w:rsidRDefault="001E42D3" w:rsidP="00ED00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>
              <w:t>This role offers a hybrid work arrangement, with two days per week in the office and the remainder from home.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2A33" w14:textId="77777777" w:rsidR="00576F6E" w:rsidRDefault="00576F6E">
      <w:r>
        <w:separator/>
      </w:r>
    </w:p>
  </w:endnote>
  <w:endnote w:type="continuationSeparator" w:id="0">
    <w:p w14:paraId="50109956" w14:textId="77777777" w:rsidR="00576F6E" w:rsidRDefault="0057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9D1DC" w14:textId="77777777" w:rsidR="00576F6E" w:rsidRDefault="00576F6E">
      <w:r>
        <w:separator/>
      </w:r>
    </w:p>
  </w:footnote>
  <w:footnote w:type="continuationSeparator" w:id="0">
    <w:p w14:paraId="1E9C4FA0" w14:textId="77777777" w:rsidR="00576F6E" w:rsidRDefault="0057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6A0D"/>
    <w:multiLevelType w:val="hybridMultilevel"/>
    <w:tmpl w:val="6100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178"/>
    <w:multiLevelType w:val="hybridMultilevel"/>
    <w:tmpl w:val="0B52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3"/>
  </w:num>
  <w:num w:numId="2" w16cid:durableId="214854772">
    <w:abstractNumId w:val="4"/>
  </w:num>
  <w:num w:numId="3" w16cid:durableId="1144548356">
    <w:abstractNumId w:val="2"/>
  </w:num>
  <w:num w:numId="4" w16cid:durableId="829296290">
    <w:abstractNumId w:val="1"/>
  </w:num>
  <w:num w:numId="5" w16cid:durableId="15514635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23328"/>
    <w:rsid w:val="000306AB"/>
    <w:rsid w:val="00034673"/>
    <w:rsid w:val="00043FED"/>
    <w:rsid w:val="00045823"/>
    <w:rsid w:val="00055F9E"/>
    <w:rsid w:val="000578FE"/>
    <w:rsid w:val="00061AF5"/>
    <w:rsid w:val="000627BB"/>
    <w:rsid w:val="00063F87"/>
    <w:rsid w:val="00073291"/>
    <w:rsid w:val="00080C11"/>
    <w:rsid w:val="00092916"/>
    <w:rsid w:val="000A64C6"/>
    <w:rsid w:val="000A75B2"/>
    <w:rsid w:val="000B38F9"/>
    <w:rsid w:val="000E15A6"/>
    <w:rsid w:val="000E33FA"/>
    <w:rsid w:val="000E5FD8"/>
    <w:rsid w:val="000F21CB"/>
    <w:rsid w:val="000F7D01"/>
    <w:rsid w:val="00100C5B"/>
    <w:rsid w:val="00120472"/>
    <w:rsid w:val="001216F9"/>
    <w:rsid w:val="00126340"/>
    <w:rsid w:val="00126385"/>
    <w:rsid w:val="00131E9C"/>
    <w:rsid w:val="00164765"/>
    <w:rsid w:val="001665E0"/>
    <w:rsid w:val="001767D5"/>
    <w:rsid w:val="00177333"/>
    <w:rsid w:val="001862B4"/>
    <w:rsid w:val="001867B2"/>
    <w:rsid w:val="001927E1"/>
    <w:rsid w:val="001941E3"/>
    <w:rsid w:val="001B2E7B"/>
    <w:rsid w:val="001B35EE"/>
    <w:rsid w:val="001B379E"/>
    <w:rsid w:val="001C5879"/>
    <w:rsid w:val="001D65A5"/>
    <w:rsid w:val="001E42D3"/>
    <w:rsid w:val="001E75EF"/>
    <w:rsid w:val="001F08A2"/>
    <w:rsid w:val="001F235A"/>
    <w:rsid w:val="001F6872"/>
    <w:rsid w:val="00205D29"/>
    <w:rsid w:val="00207AA6"/>
    <w:rsid w:val="00211147"/>
    <w:rsid w:val="00213BD1"/>
    <w:rsid w:val="00222390"/>
    <w:rsid w:val="002331F5"/>
    <w:rsid w:val="002402A1"/>
    <w:rsid w:val="00245A80"/>
    <w:rsid w:val="0024644B"/>
    <w:rsid w:val="00250375"/>
    <w:rsid w:val="00260BEB"/>
    <w:rsid w:val="00262B54"/>
    <w:rsid w:val="00266DF6"/>
    <w:rsid w:val="00272F34"/>
    <w:rsid w:val="002825BC"/>
    <w:rsid w:val="002830F5"/>
    <w:rsid w:val="00283C15"/>
    <w:rsid w:val="002976D5"/>
    <w:rsid w:val="002A05E7"/>
    <w:rsid w:val="002B7C75"/>
    <w:rsid w:val="002C2FF7"/>
    <w:rsid w:val="002C53D0"/>
    <w:rsid w:val="002D6722"/>
    <w:rsid w:val="002E1E6F"/>
    <w:rsid w:val="002E7AD9"/>
    <w:rsid w:val="0030228C"/>
    <w:rsid w:val="00306590"/>
    <w:rsid w:val="00310A8A"/>
    <w:rsid w:val="00327A61"/>
    <w:rsid w:val="00331289"/>
    <w:rsid w:val="003555EE"/>
    <w:rsid w:val="0036662C"/>
    <w:rsid w:val="00372FB3"/>
    <w:rsid w:val="00373F9B"/>
    <w:rsid w:val="003762C6"/>
    <w:rsid w:val="0037781D"/>
    <w:rsid w:val="00383D07"/>
    <w:rsid w:val="00384451"/>
    <w:rsid w:val="00384A8D"/>
    <w:rsid w:val="00392644"/>
    <w:rsid w:val="003A2643"/>
    <w:rsid w:val="003A3043"/>
    <w:rsid w:val="003A512B"/>
    <w:rsid w:val="003B5FE2"/>
    <w:rsid w:val="003C656E"/>
    <w:rsid w:val="003D6F0B"/>
    <w:rsid w:val="003D7BAA"/>
    <w:rsid w:val="003E4AA3"/>
    <w:rsid w:val="003E7B67"/>
    <w:rsid w:val="003F1AA6"/>
    <w:rsid w:val="003F3BCE"/>
    <w:rsid w:val="003F76E2"/>
    <w:rsid w:val="00402388"/>
    <w:rsid w:val="00410355"/>
    <w:rsid w:val="004158FA"/>
    <w:rsid w:val="004316BD"/>
    <w:rsid w:val="00434A62"/>
    <w:rsid w:val="004440BC"/>
    <w:rsid w:val="00446202"/>
    <w:rsid w:val="004543AC"/>
    <w:rsid w:val="004669F1"/>
    <w:rsid w:val="00467EA2"/>
    <w:rsid w:val="00473B8B"/>
    <w:rsid w:val="00475339"/>
    <w:rsid w:val="00475996"/>
    <w:rsid w:val="004B3091"/>
    <w:rsid w:val="004B7041"/>
    <w:rsid w:val="004C531D"/>
    <w:rsid w:val="004D6B28"/>
    <w:rsid w:val="004D7B5F"/>
    <w:rsid w:val="004E228E"/>
    <w:rsid w:val="004E537F"/>
    <w:rsid w:val="004F5CAF"/>
    <w:rsid w:val="005064E8"/>
    <w:rsid w:val="005147D5"/>
    <w:rsid w:val="00515715"/>
    <w:rsid w:val="005168FA"/>
    <w:rsid w:val="005172F9"/>
    <w:rsid w:val="00521700"/>
    <w:rsid w:val="005351E9"/>
    <w:rsid w:val="00551CFB"/>
    <w:rsid w:val="005542C4"/>
    <w:rsid w:val="00556463"/>
    <w:rsid w:val="005603F3"/>
    <w:rsid w:val="00561C09"/>
    <w:rsid w:val="00564FFB"/>
    <w:rsid w:val="0057032A"/>
    <w:rsid w:val="00576F6E"/>
    <w:rsid w:val="00577247"/>
    <w:rsid w:val="0058354F"/>
    <w:rsid w:val="00590DA0"/>
    <w:rsid w:val="00596D8D"/>
    <w:rsid w:val="005A0827"/>
    <w:rsid w:val="005A534E"/>
    <w:rsid w:val="005A6215"/>
    <w:rsid w:val="005C08BC"/>
    <w:rsid w:val="005C3896"/>
    <w:rsid w:val="005E35A6"/>
    <w:rsid w:val="005E3B77"/>
    <w:rsid w:val="005E5954"/>
    <w:rsid w:val="005F5C1B"/>
    <w:rsid w:val="006106D1"/>
    <w:rsid w:val="00611BBA"/>
    <w:rsid w:val="00612507"/>
    <w:rsid w:val="00623F94"/>
    <w:rsid w:val="00624131"/>
    <w:rsid w:val="00627F3E"/>
    <w:rsid w:val="00631A0A"/>
    <w:rsid w:val="006352C5"/>
    <w:rsid w:val="00644648"/>
    <w:rsid w:val="0064547B"/>
    <w:rsid w:val="00645F8F"/>
    <w:rsid w:val="0064637D"/>
    <w:rsid w:val="00652B62"/>
    <w:rsid w:val="00654076"/>
    <w:rsid w:val="00657712"/>
    <w:rsid w:val="00665F1E"/>
    <w:rsid w:val="00671C1A"/>
    <w:rsid w:val="006B1778"/>
    <w:rsid w:val="006B445E"/>
    <w:rsid w:val="006B7169"/>
    <w:rsid w:val="006B774D"/>
    <w:rsid w:val="006C25A4"/>
    <w:rsid w:val="006D2DAA"/>
    <w:rsid w:val="006E2A1B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5376A"/>
    <w:rsid w:val="00756BD1"/>
    <w:rsid w:val="00757C9A"/>
    <w:rsid w:val="007679F5"/>
    <w:rsid w:val="007759B1"/>
    <w:rsid w:val="007827BB"/>
    <w:rsid w:val="00793BEF"/>
    <w:rsid w:val="007A16E1"/>
    <w:rsid w:val="007A39E4"/>
    <w:rsid w:val="007A508E"/>
    <w:rsid w:val="007B52BD"/>
    <w:rsid w:val="007B5685"/>
    <w:rsid w:val="007B7EC1"/>
    <w:rsid w:val="007C444C"/>
    <w:rsid w:val="007D25B1"/>
    <w:rsid w:val="007D66D3"/>
    <w:rsid w:val="007D75C6"/>
    <w:rsid w:val="007D775C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61B5"/>
    <w:rsid w:val="00826F28"/>
    <w:rsid w:val="0083278A"/>
    <w:rsid w:val="008415D5"/>
    <w:rsid w:val="008479A5"/>
    <w:rsid w:val="008506E3"/>
    <w:rsid w:val="00851C63"/>
    <w:rsid w:val="0085285E"/>
    <w:rsid w:val="00852CC6"/>
    <w:rsid w:val="008573A9"/>
    <w:rsid w:val="00863D59"/>
    <w:rsid w:val="00887C70"/>
    <w:rsid w:val="008962D3"/>
    <w:rsid w:val="008B15D5"/>
    <w:rsid w:val="008D56C2"/>
    <w:rsid w:val="008E0666"/>
    <w:rsid w:val="008E3454"/>
    <w:rsid w:val="008E7716"/>
    <w:rsid w:val="008F0245"/>
    <w:rsid w:val="008F11FF"/>
    <w:rsid w:val="00906376"/>
    <w:rsid w:val="009068D2"/>
    <w:rsid w:val="009222B4"/>
    <w:rsid w:val="009235C6"/>
    <w:rsid w:val="00924CCD"/>
    <w:rsid w:val="009268AA"/>
    <w:rsid w:val="009277D7"/>
    <w:rsid w:val="009307BA"/>
    <w:rsid w:val="009435EB"/>
    <w:rsid w:val="009472C2"/>
    <w:rsid w:val="00951C12"/>
    <w:rsid w:val="00953B40"/>
    <w:rsid w:val="00955C29"/>
    <w:rsid w:val="0097430C"/>
    <w:rsid w:val="00974D6D"/>
    <w:rsid w:val="0097647C"/>
    <w:rsid w:val="00985D8A"/>
    <w:rsid w:val="00992308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E2F06"/>
    <w:rsid w:val="009E410A"/>
    <w:rsid w:val="009E4A11"/>
    <w:rsid w:val="009F2FED"/>
    <w:rsid w:val="009F725C"/>
    <w:rsid w:val="00A00F71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2509"/>
    <w:rsid w:val="00A74D1F"/>
    <w:rsid w:val="00A85487"/>
    <w:rsid w:val="00A97FDD"/>
    <w:rsid w:val="00AC2ADC"/>
    <w:rsid w:val="00AD564E"/>
    <w:rsid w:val="00AD7C0E"/>
    <w:rsid w:val="00AE073F"/>
    <w:rsid w:val="00AE488E"/>
    <w:rsid w:val="00AE5D88"/>
    <w:rsid w:val="00B0539F"/>
    <w:rsid w:val="00B0590E"/>
    <w:rsid w:val="00B20A67"/>
    <w:rsid w:val="00B56235"/>
    <w:rsid w:val="00B60712"/>
    <w:rsid w:val="00B63237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695A"/>
    <w:rsid w:val="00BE4264"/>
    <w:rsid w:val="00BE6DD4"/>
    <w:rsid w:val="00BF335F"/>
    <w:rsid w:val="00C01279"/>
    <w:rsid w:val="00C120B7"/>
    <w:rsid w:val="00C32BDB"/>
    <w:rsid w:val="00C36343"/>
    <w:rsid w:val="00C53903"/>
    <w:rsid w:val="00C8160A"/>
    <w:rsid w:val="00C87028"/>
    <w:rsid w:val="00C95DF0"/>
    <w:rsid w:val="00C9785D"/>
    <w:rsid w:val="00C97BB9"/>
    <w:rsid w:val="00CA79E1"/>
    <w:rsid w:val="00CB4B12"/>
    <w:rsid w:val="00CC4FE3"/>
    <w:rsid w:val="00CC52BC"/>
    <w:rsid w:val="00CC7F40"/>
    <w:rsid w:val="00CD5E36"/>
    <w:rsid w:val="00CD6423"/>
    <w:rsid w:val="00CD6E4A"/>
    <w:rsid w:val="00CF15C8"/>
    <w:rsid w:val="00CF5838"/>
    <w:rsid w:val="00D105DA"/>
    <w:rsid w:val="00D11144"/>
    <w:rsid w:val="00D2190C"/>
    <w:rsid w:val="00D26020"/>
    <w:rsid w:val="00D26654"/>
    <w:rsid w:val="00D316E8"/>
    <w:rsid w:val="00D3714A"/>
    <w:rsid w:val="00D45499"/>
    <w:rsid w:val="00D53F05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C140E"/>
    <w:rsid w:val="00DC5C1A"/>
    <w:rsid w:val="00DE2676"/>
    <w:rsid w:val="00DE2AA9"/>
    <w:rsid w:val="00DE5CF5"/>
    <w:rsid w:val="00DF78AC"/>
    <w:rsid w:val="00E02CFC"/>
    <w:rsid w:val="00E063C4"/>
    <w:rsid w:val="00E26763"/>
    <w:rsid w:val="00E27F94"/>
    <w:rsid w:val="00E33ACB"/>
    <w:rsid w:val="00E41CBE"/>
    <w:rsid w:val="00E45DE0"/>
    <w:rsid w:val="00E46326"/>
    <w:rsid w:val="00E52661"/>
    <w:rsid w:val="00E55795"/>
    <w:rsid w:val="00E615A4"/>
    <w:rsid w:val="00E61966"/>
    <w:rsid w:val="00E72C00"/>
    <w:rsid w:val="00E776BC"/>
    <w:rsid w:val="00E85215"/>
    <w:rsid w:val="00E912E8"/>
    <w:rsid w:val="00E93004"/>
    <w:rsid w:val="00E95746"/>
    <w:rsid w:val="00EB316A"/>
    <w:rsid w:val="00EB5D88"/>
    <w:rsid w:val="00EB6566"/>
    <w:rsid w:val="00ED0002"/>
    <w:rsid w:val="00ED15A9"/>
    <w:rsid w:val="00EE1330"/>
    <w:rsid w:val="00EE1A93"/>
    <w:rsid w:val="00EE3068"/>
    <w:rsid w:val="00EE4A08"/>
    <w:rsid w:val="00EE796F"/>
    <w:rsid w:val="00EF2C82"/>
    <w:rsid w:val="00EF2E7F"/>
    <w:rsid w:val="00F02EB3"/>
    <w:rsid w:val="00F154E1"/>
    <w:rsid w:val="00F20206"/>
    <w:rsid w:val="00F27CA0"/>
    <w:rsid w:val="00F37466"/>
    <w:rsid w:val="00F43409"/>
    <w:rsid w:val="00F66FAE"/>
    <w:rsid w:val="00F670A8"/>
    <w:rsid w:val="00F77376"/>
    <w:rsid w:val="00F84522"/>
    <w:rsid w:val="00F86A3D"/>
    <w:rsid w:val="00F91B74"/>
    <w:rsid w:val="00F94BC3"/>
    <w:rsid w:val="00FA122C"/>
    <w:rsid w:val="00FA4DEC"/>
    <w:rsid w:val="00FC3456"/>
    <w:rsid w:val="00FD0960"/>
    <w:rsid w:val="00FD5B7B"/>
    <w:rsid w:val="00FD6E5E"/>
    <w:rsid w:val="03BFA5C3"/>
    <w:rsid w:val="05F84533"/>
    <w:rsid w:val="10A846CC"/>
    <w:rsid w:val="18D5126E"/>
    <w:rsid w:val="1CF25804"/>
    <w:rsid w:val="3BE4CCD0"/>
    <w:rsid w:val="3F12CF3F"/>
    <w:rsid w:val="412387FF"/>
    <w:rsid w:val="4843B88C"/>
    <w:rsid w:val="4AA92588"/>
    <w:rsid w:val="5656A44D"/>
    <w:rsid w:val="57307A06"/>
    <w:rsid w:val="60604C01"/>
    <w:rsid w:val="6591F474"/>
    <w:rsid w:val="72C0F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c76dd4755fdb3dd6e489c8e0546f0f7a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02b30ddb2d2de42a8330171f50717eb9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Props1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5D66A-8720-4EF9-A9DD-783D57D9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825</Words>
  <Characters>5475</Characters>
  <Application>Microsoft Office Word</Application>
  <DocSecurity>0</DocSecurity>
  <Lines>45</Lines>
  <Paragraphs>12</Paragraphs>
  <ScaleCrop>false</ScaleCrop>
  <Company>Zoological Society of London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Steph Harris</cp:lastModifiedBy>
  <cp:revision>50</cp:revision>
  <cp:lastPrinted>2015-01-12T12:47:00Z</cp:lastPrinted>
  <dcterms:created xsi:type="dcterms:W3CDTF">2024-11-01T10:37:00Z</dcterms:created>
  <dcterms:modified xsi:type="dcterms:W3CDTF">2024-11-06T17:40:00Z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