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first.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Events Team 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Organisational Level 3 – Professional Level 1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Events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Development</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Shared line management of the Dual Site Event Officer</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22"/>
          <w:szCs w:val="22"/>
          <w:lang w:val="en-GB" w:eastAsia="en-GB" w:bidi="en-GB"/>
        </w:rPr>
      </w:pPr>
      <w:r>
        <w:rPr>
          <w:rFonts w:ascii="Calibri" w:hAnsi="Calibri" w:eastAsia="Calibri" w:cs="Calibri"/>
          <w:sz w:val="22"/>
          <w:szCs w:val="22"/>
          <w:lang w:val="en-GB" w:eastAsia="en-GB" w:bidi="en-GB"/>
        </w:rPr>
        <w:t xml:space="preserve">To deliver ongoing logistical and project support for the ZSL Whipsnade Zoos events programme. This role will be responsible for the day-to-day operational delivery of seasonal events including real time leadership, problem solving and decision making. This role represents a lead operational position within the events team.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Shared operational line management of the ZSL Dual Site Events Officer. Day to day operational line management of the Whipsnade Zoo seasonal event staff.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Style w:val="Strong"/>
          <w:b w:val="off"/>
          <w:bCs w:val="off"/>
          <w:sz w:val="22"/>
          <w:szCs w:val="22"/>
          <w:lang w:val="en-GB" w:eastAsia="en-GB" w:bidi="en-GB"/>
        </w:rPr>
        <w:t xml:space="preserve">Responsible for workload planning, performance expectations, and skills development for direct reports</w:t>
      </w:r>
      <w:r>
        <w:rPr>
          <w:sz w:val="22"/>
          <w:szCs w:val="22"/>
          <w:lang w:val="en-GB" w:eastAsia="en-GB" w:bidi="en-GB"/>
        </w:rPr>
        <w:t xml:space="preserve">, establishing robust standards, delivering targeted training, and driving a culture of continuous improvement.</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Style w:val="Strong"/>
          <w:b w:val="off"/>
          <w:bCs w:val="off"/>
          <w:sz w:val="22"/>
          <w:szCs w:val="22"/>
          <w:lang w:val="en-GB" w:eastAsia="en-GB" w:bidi="en-GB"/>
        </w:rPr>
        <w:t xml:space="preserve">Act as the accountable lead for events in the absence of the Event Manager</w:t>
      </w:r>
      <w:r>
        <w:rPr>
          <w:sz w:val="22"/>
          <w:szCs w:val="22"/>
          <w:lang w:val="en-GB" w:eastAsia="en-GB" w:bidi="en-GB"/>
        </w:rPr>
        <w:t xml:space="preserve">, making informed operational decisions, managing risk, and ensuring seamless event delivery.</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Accountable for the operational success of events, ensuring the objectives and outcomes for each event are met.</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Research and develop ideas and material for new events which reflect and support the objectives and long-term strategy of ZSL.</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Style w:val="Strong"/>
          <w:b w:val="off"/>
          <w:bCs w:val="off"/>
          <w:sz w:val="22"/>
          <w:szCs w:val="22"/>
          <w:lang w:val="en-GB" w:eastAsia="en-GB" w:bidi="en-GB"/>
        </w:rPr>
        <w:t xml:space="preserve">Take the leading role in the planning of seasonal events</w:t>
      </w:r>
      <w:r>
        <w:rPr>
          <w:sz w:val="22"/>
          <w:szCs w:val="22"/>
          <w:lang w:val="en-GB" w:eastAsia="en-GB" w:bidi="en-GB"/>
        </w:rPr>
        <w:t xml:space="preserve">, working with minimal guidance from the Events Manager and driving delivery timelines and stakeholder coordination</w:t>
      </w:r>
      <w:r>
        <w:rPr>
          <w:lang w:val="en-GB" w:eastAsia="en-GB" w:bidi="en-GB"/>
        </w:rPr>
        <w:t xml:space="preserve">.</w:t>
      </w:r>
      <w:r>
        <w:rPr>
          <w:sz w:val="22"/>
          <w:szCs w:val="22"/>
          <w:lang w:val="en-GB" w:eastAsia="en-GB" w:bidi="en-GB"/>
        </w:rPr>
        <w:t xml:space="preserv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Support the Events Manager in the delivery of the wider event programme, ensuring the onsite activation meets the objectives and is to the highest standard.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Responsible for identifying and contracting suitable event suppliers in the run up to events</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Be the main point of contact for onsite queries and day to day running relating to the live event, providing authoritative decision-making, resolving onsite issues, and coordinating colleagues, event staff, and contractors to maintain a smooth delivery.</w:t>
      </w:r>
    </w:p>
    <w:p>
      <w:pPr>
        <w:pStyle w:val="Default"/>
        <w:pageBreakBefor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Responsible for compiling, analysing, and writing up event evaluation reports and visitor feedback.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Collaborate closely with other relevant departments (Marketing, Creative Design etc.) to ensure event assets are developed, proofed, produced and delivered in accordance with deadlines.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Previous experience of working on an event from conception through to delivery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Strong operations and logistics experience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Strong demonstrable experience of managing competing priorities to strict deadlines.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2"/>
                <w:szCs w:val="22"/>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Line management experience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Previous experience within the visitor attraction industry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Experience of working with volunteers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Experience of working within a budget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Degree in a events related subject or equivalent experience.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Proficient in Microsoft programmes such as Excel and PowerPoint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Organised with a methodical and thorough approach to work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Able to demonstrate good attention to detail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Flexibility and good time management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Ability to stay calm under pressure and problem solve efficiently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A great team player with excellent communication skills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Ability to develop networks and relationships quickly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Good at juggling tasks and prioritising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A desire to show initiative.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sz w:val="22"/>
                <w:szCs w:val="22"/>
                <w:lang w:val="en-GB" w:eastAsia="en-GB" w:bidi="en-GB"/>
              </w:rPr>
              <w:t xml:space="preserve">The candidate must be physical fit as this role requires outdoor working, lifting and physical tasks on a regular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Understanding of project plans and gantt charts is an advantage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Skills in design or web software is an advantage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lang w:val="en-GB" w:eastAsia="en-GB" w:bidi="en-GB"/>
              </w:rPr>
              <w:t xml:space="preserve">The role is broadly based on standard office hours (9am–5.30pm), however, it should be viewed as operating on an annualised hours basis, dependent on the requirements of the programme. Evening and weekend work will be required as part of the normal delivery of events. Any additional hours worked will be managed through Time Off in Lieu. In accordance with the staff handbook, this time will be taken at appropriate points, subject to operational requirements and programme dependencies, and managed within the annualised hours framework. Overtime payments do not apply to this role, and applicants should be aware that out-of-hours working is inherent to the position</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This is a full-time role based on site.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This post will require extensive outside working with direct exposure to the weather. </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This role requires a full driving licence.</w:t>
            </w: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To comply with and promote Health and Safety policies and procedures </w:t>
            </w:r>
          </w:p>
        </w:tc>
      </w:tr>
    </w:tbl>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000000"/>
          <w:sz w:val="22"/>
          <w:szCs w:val="22"/>
          <w:lang w:val="en-GB" w:eastAsia="en-GB" w:bidi="en-GB"/>
        </w:rPr>
      </w:pPr>
    </w:p>
    <w:sectPr>
      <w:headerReference w:type="first" r:id="rId00007"/>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s>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-628015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character" w:styleId="Strong">
    <w:name w:val="Strong"/>
    <w:qFormat/>
    <w:rPr>
      <w:b/>
      <w:bCs/>
      <w:rtl w:val="off"/>
    </w:rPr>
  </w:style>
  <w:style w:type="character" w:styleId="CommentReference">
    <w:name w:val="annotation reference"/>
    <w:qFormat/>
    <w:rPr>
      <w:sz w:val="16"/>
      <w:szCs w:val="16"/>
      <w:rtl w:val="off"/>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_first.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Charlotte Cowan</dc:creator>
  <dcterms:created xsi:type="dcterms:W3CDTF">2026-04-21T10:15:00Z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81;#HR|12cf6d2f-e5d5-4afc-acb4-2881efab8e57</vt:lpwstr>
  </property>
  <property fmtid="{D5CDD505-2E9C-101B-9397-08002B2CF9AE}" pid="3" name="Document language">
    <vt:lpwstr>7;#English|8e6f1ede-5386-4ba2-be58-056b572f25ee</vt:lpwstr>
  </property>
  <property fmtid="{D5CDD505-2E9C-101B-9397-08002B2CF9AE}" pid="4" name="ContentTypeId">
    <vt:lpwstr>0x010100D06BB0C5BAF8E54A940916A91E5CB263006E53188E84106C49836A0245B42158EC</vt:lpwstr>
  </property>
</Properties>
</file>