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header0001_first.xml" ContentType="application/vnd.openxmlformats-officedocument.wordprocessingml.head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44"/>
          <w:szCs w:val="44"/>
          <w:lang w:val="en-GB" w:eastAsia="en-GB" w:bidi="en-GB"/>
        </w:rPr>
      </w:pPr>
      <w:r>
        <w:rPr>
          <w:rFonts w:ascii="Calibri" w:hAnsi="Calibri" w:eastAsia="Calibri" w:cs="Calibri"/>
          <w:b/>
          <w:bCs/>
          <w:color w:val="006600"/>
          <w:sz w:val="44"/>
          <w:szCs w:val="44"/>
          <w:lang w:val="en-GB" w:eastAsia="en-GB" w:bidi="en-GB"/>
        </w:rPr>
        <w:t xml:space="preserve">Finance and Administrative Assistant</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13"/>
        <w:gridCol w:w="2835"/>
        <w:gridCol w:w="1276"/>
        <w:gridCol w:w="3492"/>
      </w:tblGrid>
      <w:tr>
        <w:trPr>
          <w:trHeight w:val="596" w:hRule="atLeast"/>
        </w:trPr>
        <w:tc>
          <w:tcPr>
            <w:tcW w:w="1413"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sz w:val="22"/>
                <w:szCs w:val="22"/>
                <w:lang w:val="en-GB" w:eastAsia="en-GB" w:bidi="en-GB"/>
              </w:rPr>
            </w:pPr>
            <w:r>
              <w:rPr>
                <w:rFonts w:ascii="Calibri" w:hAnsi="Calibri" w:eastAsia="Calibri" w:cs="Calibri"/>
                <w:b/>
                <w:bCs/>
                <w:color w:val="FFFFFF"/>
                <w:lang w:val="en-GB" w:eastAsia="en-GB" w:bidi="en-GB"/>
              </w:rPr>
              <w:t xml:space="preserve">Job grade</w:t>
            </w:r>
          </w:p>
        </w:tc>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International</w:t>
            </w:r>
          </w:p>
        </w:tc>
        <w:tc>
          <w:tcPr>
            <w:tcW w:w="1276"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Reports to</w:t>
            </w:r>
          </w:p>
        </w:tc>
        <w:tc>
          <w:tcPr>
            <w:tcW w:w="349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Programme Manager</w:t>
            </w:r>
          </w:p>
        </w:tc>
      </w:tr>
      <w:tr>
        <w:tc>
          <w:tcPr>
            <w:tcW w:w="1413"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Directorate</w:t>
            </w:r>
          </w:p>
        </w:tc>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Conservation and Policy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c>
          <w:tcPr>
            <w:tcW w:w="1276"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Function</w:t>
            </w:r>
          </w:p>
        </w:tc>
        <w:tc>
          <w:tcPr>
            <w:tcW w:w="349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p>
        </w:tc>
      </w:tr>
      <w:tr>
        <w:tc>
          <w:tcPr>
            <w:tcW w:w="1413"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Contract </w:t>
            </w:r>
          </w:p>
        </w:tc>
        <w:tc>
          <w:tcPr>
            <w:tcW w:w="28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Fixed term contract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lang w:val="en-GB" w:eastAsia="en-GB" w:bidi="en-GB"/>
              </w:rPr>
            </w:pPr>
          </w:p>
        </w:tc>
        <w:tc>
          <w:tcPr>
            <w:tcW w:w="1276"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Location</w:t>
            </w:r>
          </w:p>
        </w:tc>
        <w:tc>
          <w:tcPr>
            <w:tcW w:w="349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Palawan, Philippines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32"/>
          <w:szCs w:val="32"/>
          <w:lang w:val="en-GB" w:eastAsia="en-GB" w:bidi="en-GB"/>
        </w:rPr>
      </w:pPr>
      <w:r>
        <w:rPr>
          <w:rFonts w:ascii="Calibri" w:hAnsi="Calibri" w:eastAsia="Calibri" w:cs="Calibri"/>
          <w:b/>
          <w:bCs/>
          <w:color w:val="006600"/>
          <w:sz w:val="32"/>
          <w:szCs w:val="32"/>
          <w:lang w:val="en-GB" w:eastAsia="en-GB" w:bidi="en-GB"/>
        </w:rPr>
        <w:t xml:space="preserve">Responsibility for resources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05"/>
        <w:gridCol w:w="2756"/>
        <w:gridCol w:w="1612"/>
        <w:gridCol w:w="3244"/>
      </w:tblGrid>
      <w:tr>
        <w:trPr>
          <w:trHeight w:val="596" w:hRule="atLeast"/>
        </w:trPr>
        <w:tc>
          <w:tcPr>
            <w:tcW w:w="1405"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sz w:val="22"/>
                <w:szCs w:val="22"/>
                <w:lang w:val="en-GB" w:eastAsia="en-GB" w:bidi="en-GB"/>
              </w:rPr>
            </w:pPr>
            <w:r>
              <w:rPr>
                <w:rFonts w:ascii="Calibri" w:hAnsi="Calibri" w:eastAsia="Calibri" w:cs="Calibri"/>
                <w:b/>
                <w:bCs/>
                <w:color w:val="FFFFFF"/>
                <w:lang w:val="en-GB" w:eastAsia="en-GB" w:bidi="en-GB"/>
              </w:rPr>
              <w:t xml:space="preserve">Direct line reports</w:t>
            </w:r>
          </w:p>
        </w:tc>
        <w:tc>
          <w:tcPr>
            <w:tcW w:w="275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NA</w:t>
            </w:r>
          </w:p>
        </w:tc>
        <w:tc>
          <w:tcPr>
            <w:tcW w:w="1612" w:type="dxa"/>
            <w:vMerge w:val="restart"/>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Responsibility for other resources</w:t>
            </w:r>
          </w:p>
        </w:tc>
        <w:tc>
          <w:tcPr>
            <w:tcW w:w="3244" w:type="dxa"/>
            <w:vMerge w:val="restart"/>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NA</w:t>
            </w:r>
          </w:p>
        </w:tc>
      </w:tr>
      <w:tr>
        <w:tc>
          <w:tcPr>
            <w:tcW w:w="1405" w:type="dxa"/>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FFFFFF"/>
                <w:lang w:val="en-GB" w:eastAsia="en-GB" w:bidi="en-GB"/>
              </w:rPr>
            </w:pPr>
            <w:r>
              <w:rPr>
                <w:rFonts w:ascii="Calibri" w:hAnsi="Calibri" w:eastAsia="Calibri" w:cs="Calibri"/>
                <w:b/>
                <w:bCs/>
                <w:color w:val="FFFFFF"/>
                <w:lang w:val="en-GB" w:eastAsia="en-GB" w:bidi="en-GB"/>
              </w:rPr>
              <w:t xml:space="preserve">Financial resources</w:t>
            </w:r>
          </w:p>
        </w:tc>
        <w:tc>
          <w:tcPr>
            <w:tcW w:w="275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lang w:val="en-GB" w:eastAsia="en-GB" w:bidi="en-GB"/>
              </w:rPr>
            </w:pPr>
            <w:r>
              <w:rPr>
                <w:rFonts w:ascii="Calibri" w:hAnsi="Calibri" w:eastAsia="Calibri" w:cs="Calibri"/>
                <w:b/>
                <w:bCs/>
                <w:lang w:val="en-GB" w:eastAsia="en-GB" w:bidi="en-GB"/>
              </w:rPr>
              <w:t xml:space="preserve">NA</w:t>
            </w:r>
          </w:p>
        </w:tc>
        <w:tc>
          <w:tcPr>
            <w:tcW w:w="1612" w:type="dxa"/>
            <w:vMerge w:val="continue"/>
            <w:shd w:val="clear" w:color="auto" w:fill="006600"/>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tc>
        <w:tc>
          <w:tcPr>
            <w:tcW w:w="324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color w:val="244061"/>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32"/>
          <w:szCs w:val="32"/>
          <w:lang w:val="en-GB" w:eastAsia="en-GB" w:bidi="en-GB"/>
        </w:rPr>
      </w:pPr>
      <w:r>
        <w:rPr>
          <w:rFonts w:ascii="Calibri" w:hAnsi="Calibri" w:eastAsia="Calibri" w:cs="Calibri"/>
          <w:b/>
          <w:bCs/>
          <w:color w:val="006600"/>
          <w:sz w:val="32"/>
          <w:szCs w:val="32"/>
          <w:lang w:val="en-GB" w:eastAsia="en-GB" w:bidi="en-GB"/>
        </w:rPr>
        <w:t xml:space="preserve">Our vision and mission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The Zoological Society of London (ZSL) is an international conservation charity, driven by science, working to restore wildlife in the UK and around the world. Our vision is a world where wildlife thrives, and every person in every corner of ZSL has one thing in common – we are all conservationists, and passionate about restoring wildlife.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In 2010, the ZSL-Philippines Country Office was established as a duly accredited NGO registered under the Securities and Exchange Commission (SEC) as a local branch of a foreign charitable institution registered in the UK, with its primary office in Iloilo City. Over the past 15 years, ZSL-Philippines has gained ground in mangrove conservation, locally managed marine protected areas (MPAs), freshwater conservation in northern Luzon, and the conservation of endangered species including the Palawan pangolin, Mindoro tamaraw, and Philippine seahorse. To date, ZSL-Philippines has 36 staff based in its home and field offices in Iloilo, Puerto Princesa, Tuguegarao, Siargao, and Masinloc, with an annual budget of £200,000 per annum.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366091"/>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32"/>
          <w:szCs w:val="32"/>
          <w:lang w:val="en-GB" w:eastAsia="en-GB" w:bidi="en-GB"/>
        </w:rPr>
      </w:pPr>
      <w:r>
        <w:rPr>
          <w:rFonts w:ascii="Calibri" w:hAnsi="Calibri" w:eastAsia="Calibri" w:cs="Calibri"/>
          <w:b/>
          <w:bCs/>
          <w:color w:val="006600"/>
          <w:sz w:val="32"/>
          <w:szCs w:val="32"/>
          <w:lang w:val="en-GB" w:eastAsia="en-GB" w:bidi="en-GB"/>
        </w:rPr>
        <w:t xml:space="preserve">Project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60"/>
        <w:rPr>
          <w:rFonts w:ascii="Calibri" w:hAnsi="Calibri" w:eastAsia="Calibri" w:cs="Calibri"/>
          <w:sz w:val="22"/>
          <w:szCs w:val="22"/>
          <w:lang w:val="en-GB" w:eastAsia="en-GB" w:bidi="en-GB"/>
        </w:rPr>
      </w:pPr>
      <w:r>
        <w:rPr>
          <w:rFonts w:ascii="Calibri" w:hAnsi="Calibri" w:eastAsia="Calibri" w:cs="Calibri"/>
          <w:b/>
          <w:bCs/>
          <w:sz w:val="22"/>
          <w:szCs w:val="22"/>
          <w:lang w:val="en-GB" w:eastAsia="en-GB" w:bidi="en-GB"/>
        </w:rPr>
        <w:t xml:space="preserve">Tackling Climate Change through Health-Oriented Policy Interventions in Coastal Marinescapes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This research project, led by the London School of Economics and Political Science (LSE) in partnership with the Palawan Council for Sustainable Development Staff (PCSDS), addresses the interlinked challenges of climate change and health in the Philippines' coastal marinescapes, with a geographic focus on Palawan. While existing research has focused mainly on the biophysical dimensions of marine ecosystems, this project fills a critical socioeconomic gap by building the evidence base for health-oriented policy responses — examining how mangroves support human health and livelihoods, and how sustainable Marine Protected Area (MPA) and fisheries management can be designed in a just and equitable way for small-scale fishers.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Using a mixed-methods approach — combining desk review, stakeholder consultations, surveys, key informant interviews, and focus group discussions — the project will generate a peer-reviewed journal article, two policy briefs, and a high-level policy dialogue with Philippine and UK stakeholders, including DENR, ADB, and FCDO. Funded through the UK's International Science Partnerships Fund (ISPF) Challenge-Oriented Research Grants, the research supports the Philippines' national Blue Economy Agenda and strengthens UK-Philippines collaboration on climate, health, and ocean resilience.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32"/>
          <w:szCs w:val="32"/>
          <w:lang w:val="en-GB" w:eastAsia="en-GB" w:bidi="en-GB"/>
        </w:rPr>
      </w:pPr>
      <w:r>
        <w:rPr>
          <w:rFonts w:ascii="Calibri" w:hAnsi="Calibri" w:eastAsia="Calibri" w:cs="Calibri"/>
          <w:b/>
          <w:bCs/>
          <w:color w:val="006600"/>
          <w:sz w:val="32"/>
          <w:szCs w:val="32"/>
          <w:lang w:val="en-GB" w:eastAsia="en-GB" w:bidi="en-GB"/>
        </w:rPr>
        <w:t xml:space="preserve">Purpose of the Role</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PH" w:eastAsia="en-PH" w:bidi="en-PH"/>
        </w:rPr>
      </w:pPr>
      <w:r>
        <w:rPr>
          <w:lang w:val="en-US" w:eastAsia="en-US" w:bidi="en-US"/>
        </w:rPr>
        <w:t xml:space="preserve">The Finance and Administrative Clerk provides clerical, finance, and administrative support to the project team by maintaining accurate records, encoding routine financial transactions, assisting with payment documentation, supporting procurement and logistics processes, and ensuring proper filing and safekeeping of project documents. The role supports the Finance and Admin team under close supervision and does not hold approval, compliance review, or financial decision-making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i/>
          <w:iCs/>
          <w:color w:val="FF0000"/>
          <w:sz w:val="32"/>
          <w:szCs w:val="32"/>
          <w:lang w:val="en-GB" w:eastAsia="en-GB" w:bidi="en-GB"/>
        </w:rPr>
      </w:pPr>
      <w:r>
        <w:rPr>
          <w:rFonts w:ascii="Calibri" w:hAnsi="Calibri" w:eastAsia="Calibri" w:cs="Calibri"/>
          <w:b/>
          <w:bCs/>
          <w:color w:val="006600"/>
          <w:sz w:val="32"/>
          <w:szCs w:val="32"/>
          <w:lang w:val="en-GB" w:eastAsia="en-GB" w:bidi="en-GB"/>
        </w:rPr>
        <w:t xml:space="preserve">Key responsibilities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PH" w:eastAsia="en-PH" w:bidi="en-PH"/>
        </w:rPr>
      </w:pPr>
      <w:r>
        <w:rPr>
          <w:lang w:val="en-GB" w:eastAsia="en-GB" w:bidi="en-GB"/>
        </w:rPr>
        <w:t xml:space="preserve">Provide routine administrative and clerical support to the project team, including filing, photocopying, scanning, document routing, and maintaining project records.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Prepare approved financial transactions, liquidations, and supporting details ready for encoding to QuickBooks or prescribed finance templates by the Finance Officer or Finance Manager.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Assist in preparing payment request documents, vouchers, cash advance forms, liquidation forms, and other routine finance documents for review and approval by authorized staff.</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Maintain orderly soft and hard copy filing of finance, procurement, administrative, and project documents to support easy retrieval and audit preparation.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Track staff cash advances and liquidations using approved monitoring tools and follow up on pending documents as instructed by the Finance and Admin Officer or Programme Manager.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Assist in checking whether submitted documents are complete before routing them for technical, finance, or management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Support procurement documentation by compiling purchase requests, quotations, delivery receipts, invoices, and other required attachments.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Assist with logistical arrangements for meetings, field activities, workshops, and travel, including venue coordination, supplies, transport coordination, and attendance documentation.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Maintain inventory and office supply records and report low stock or missing documentation to the responsible staff member.</w:t>
      </w:r>
    </w:p>
    <w:p>
      <w:pPr>
        <w:pStyle w:val="ListParagraph"/>
        <w:numPr>
          <w:ilvl w:val="0"/>
          <w:numId w:val="1"/>
        </w:numPr>
        <w:tabs>
          <w:tab w:val="left" w:pos="72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hanging="360"/>
        <w:jc w:val="both"/>
        <w:rPr>
          <w:lang w:val="en-GB" w:eastAsia="en-GB" w:bidi="en-GB"/>
        </w:rPr>
      </w:pPr>
      <w:r>
        <w:rPr>
          <w:lang w:val="en-GB" w:eastAsia="en-GB" w:bidi="en-GB"/>
        </w:rPr>
        <w:t xml:space="preserve">Perform other related clerical and administrative tasks assigned by the Programme Manager, Finance Manager, or Finance and Admin Officer, consistent with the level and purpose of the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sz w:val="22"/>
          <w:szCs w:val="22"/>
          <w:lang w:val="en-PH" w:eastAsia="en-PH" w:bidi="en-PH"/>
        </w:rPr>
      </w:pPr>
      <w:r>
        <w:rPr>
          <w:rFonts w:ascii="Calibri" w:hAnsi="Calibri" w:eastAsia="Calibri" w:cs="Calibri"/>
          <w:b/>
          <w:bCs/>
          <w:sz w:val="22"/>
          <w:szCs w:val="22"/>
          <w:lang w:val="en-PH" w:eastAsia="en-PH" w:bidi="en-PH"/>
        </w:rPr>
        <w:t xml:space="preserve">Authorities &amp; Controls (Clarity on Approvals)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PH" w:eastAsia="en-PH" w:bidi="en-PH"/>
        </w:rPr>
      </w:pPr>
      <w:r>
        <w:rPr>
          <w:b/>
          <w:bCs/>
          <w:lang w:val="en-GB" w:eastAsia="en-GB" w:bidi="en-GB"/>
        </w:rPr>
        <w:t xml:space="preserve">Prepares:</w:t>
      </w:r>
      <w:r>
        <w:rPr>
          <w:lang w:val="en-GB" w:eastAsia="en-GB" w:bidi="en-GB"/>
        </w:rPr>
        <w:t xml:space="preserve"> Routine forms, vouchers, payment request attachments, filing records, monitoring trackers, inventory lists, and logistical documents.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b/>
          <w:bCs/>
          <w:lang w:val="en-GB" w:eastAsia="en-GB" w:bidi="en-GB"/>
        </w:rPr>
        <w:t xml:space="preserve">Checks:</w:t>
      </w:r>
      <w:r>
        <w:rPr>
          <w:lang w:val="en-GB" w:eastAsia="en-GB" w:bidi="en-GB"/>
        </w:rPr>
        <w:t xml:space="preserve"> Basic completeness of submitted documents before routing for review.</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b/>
          <w:bCs/>
          <w:lang w:val="en-GB" w:eastAsia="en-GB" w:bidi="en-GB"/>
        </w:rPr>
        <w:t xml:space="preserve">Approves:</w:t>
      </w:r>
      <w:r>
        <w:rPr>
          <w:lang w:val="en-GB" w:eastAsia="en-GB" w:bidi="en-GB"/>
        </w:rPr>
        <w:t xml:space="preserve"> </w:t>
      </w:r>
      <w:r>
        <w:rPr>
          <w:i/>
          <w:iCs/>
          <w:lang w:val="en-GB" w:eastAsia="en-GB" w:bidi="en-GB"/>
        </w:rPr>
        <w:t xml:space="preserve">None.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b/>
          <w:bCs/>
          <w:lang w:val="en-GB" w:eastAsia="en-GB" w:bidi="en-GB"/>
        </w:rPr>
        <w:t xml:space="preserve">Escalates to:</w:t>
      </w:r>
      <w:r>
        <w:rPr>
          <w:lang w:val="en-GB" w:eastAsia="en-GB" w:bidi="en-GB"/>
        </w:rPr>
        <w:t xml:space="preserve"> Finance and Admin Officer or Finance Manager for finance matters; Programme Manager for operational, logistics, and administrative matters.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sz w:val="22"/>
          <w:szCs w:val="22"/>
          <w:lang w:val="en-PH" w:eastAsia="en-PH" w:bidi="en-PH"/>
        </w:rPr>
      </w:pPr>
      <w:r>
        <w:rPr>
          <w:rFonts w:ascii="Calibri" w:hAnsi="Calibri" w:eastAsia="Calibri" w:cs="Calibri"/>
          <w:b/>
          <w:bCs/>
          <w:sz w:val="22"/>
          <w:szCs w:val="22"/>
          <w:lang w:val="en-PH" w:eastAsia="en-PH" w:bidi="en-PH"/>
        </w:rPr>
        <w:t xml:space="preserve">Key Performance Indicators (KPIs)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PH" w:eastAsia="en-PH" w:bidi="en-PH"/>
        </w:rPr>
      </w:pPr>
      <w:r>
        <w:rPr>
          <w:lang w:val="en-GB" w:eastAsia="en-GB" w:bidi="en-GB"/>
        </w:rPr>
        <w:t xml:space="preserve">Finance and administrative documents are filed and updated within two working days of receipt or completion.</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Approved transactions and monitoring trackers are encoded accurately and submitted for review within agreed timelines.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Payment, cash advance, liquidation, and procurement documents are complete before routing to the responsible reviewer or approver.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Cash advance and liquidation trackers are updated regularly and pending items are followed up as instructed.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Procurement, logistics, attendance, and inventory records are complete, organized, and readily available when needed.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lang w:val="en-GB" w:eastAsia="en-GB" w:bidi="en-GB"/>
        </w:rPr>
        <w:t xml:space="preserve">Administrative and logistical support is provided on time for meetings, travel, workshops, and field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006600"/>
          <w:sz w:val="22"/>
          <w:szCs w:val="22"/>
          <w:lang w:val="en-GB" w:eastAsia="en-GB" w:bidi="en-GB"/>
        </w:rPr>
      </w:pPr>
      <w:r>
        <w:rPr>
          <w:rFonts w:ascii="Calibri" w:hAnsi="Calibri" w:eastAsia="Calibri" w:cs="Calibri"/>
          <w:b/>
          <w:bCs/>
          <w:color w:val="006600"/>
          <w:sz w:val="22"/>
          <w:szCs w:val="22"/>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color w:val="366091"/>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7"/>
      </w:tblGrid>
      <w:tr>
        <w:tc>
          <w:tcPr>
            <w:tcW w:w="9017" w:type="dxa"/>
            <w:tcBorders>
              <w:bottom w:val="single" w:sz="4" w:space="0" w:color="auto"/>
            </w:tcBorders>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color w:val="FFFFFF"/>
                <w:sz w:val="22"/>
                <w:szCs w:val="22"/>
                <w:lang w:val="en-GB" w:eastAsia="en-GB" w:bidi="en-GB"/>
              </w:rPr>
            </w:pPr>
            <w:r>
              <w:rPr>
                <w:rFonts w:ascii="Calibri" w:hAnsi="Calibri" w:eastAsia="Calibri" w:cs="Calibri"/>
                <w:color w:val="FFFFFF"/>
                <w:sz w:val="22"/>
                <w:szCs w:val="22"/>
                <w:lang w:val="en-GB" w:eastAsia="en-GB" w:bidi="en-GB"/>
              </w:rPr>
              <w:t xml:space="preserve">Experience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71"/>
        <w:gridCol w:w="7746"/>
      </w:tblGrid>
      <w:tr>
        <w:tc>
          <w:tcPr>
            <w:tcW w:w="1271"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Essential</w:t>
            </w:r>
          </w:p>
        </w:tc>
        <w:tc>
          <w:tcPr>
            <w:tcW w:w="7746" w:type="dxa"/>
            <w:tcBorders>
              <w:top w:val="single" w:sz="4" w:space="0" w:color="auto"/>
            </w:tcBorders>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PH" w:eastAsia="en-PH" w:bidi="en-PH"/>
              </w:rPr>
            </w:pPr>
            <w:r>
              <w:rPr>
                <w:lang w:val="en-GB" w:eastAsia="en-GB" w:bidi="en-GB"/>
              </w:rPr>
              <w:t xml:space="preserve">Completion of a relevant degree, vocational course, or equivalent training in accounting, business administration, management, office administration, or a related field.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At least one (1) year of relevant experience in clerical, finance support, administrative, bookkeeping, or office support work.</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Good organizational skills and attention to detail in handling records, forms, and supporting documents.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Experience in basic data entry, filing, document tracking, or preparation of routine administrative and finance documents.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Ability to work effectively with project, finance, administrative, and field staff.</w:t>
            </w:r>
          </w:p>
        </w:tc>
      </w:tr>
      <w:tr>
        <w:tc>
          <w:tcPr>
            <w:tcW w:w="1271" w:type="dxa"/>
            <w:tcBorders>
              <w:bottom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Desirable </w:t>
            </w:r>
          </w:p>
        </w:tc>
        <w:tc>
          <w:tcPr>
            <w:tcW w:w="7746" w:type="dxa"/>
            <w:tcBorders>
              <w:bottom w:val="single" w:sz="4" w:space="0" w:color="auto"/>
            </w:tcBorders>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PH" w:eastAsia="en-PH" w:bidi="en-PH"/>
              </w:rPr>
            </w:pPr>
            <w:r>
              <w:rPr>
                <w:lang w:val="en-GB" w:eastAsia="en-GB" w:bidi="en-GB"/>
              </w:rPr>
              <w:t xml:space="preserve">Basic familiarity with QuickBooks or similar accounting software is an advantage.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Previous experience in an NGO, project office, field office, or conservation-related programme is an advantage.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7"/>
      </w:tblGrid>
      <w:tr>
        <w:tc>
          <w:tcPr>
            <w:tcW w:w="9017" w:type="dxa"/>
            <w:tcBorders>
              <w:top w:val="single" w:sz="4" w:space="0" w:color="auto"/>
              <w:bottom w:val="single" w:sz="4" w:space="0" w:color="auto"/>
            </w:tcBorders>
            <w:shd w:val="clear" w:color="auto" w:fill="006600"/>
            <w:vAlign w:val="top"/>
          </w:tcPr>
          <w:p>
            <w:pPr>
              <w:pStyle w:val="Normal"/>
              <w:tabs>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0" w:hanging="330"/>
              <w:jc w:val="both"/>
              <w:rPr>
                <w:rFonts w:ascii="Calibri" w:hAnsi="Calibri" w:eastAsia="Calibri" w:cs="Calibri"/>
                <w:color w:val="FFFFFF"/>
                <w:sz w:val="22"/>
                <w:szCs w:val="22"/>
                <w:lang w:val="en-GB" w:eastAsia="en-GB" w:bidi="en-GB"/>
              </w:rPr>
            </w:pPr>
            <w:r>
              <w:rPr>
                <w:rFonts w:ascii="Calibri" w:hAnsi="Calibri" w:eastAsia="Calibri" w:cs="Calibri"/>
                <w:color w:val="FFFFFF"/>
                <w:sz w:val="22"/>
                <w:szCs w:val="22"/>
                <w:lang w:val="en-GB" w:eastAsia="en-GB" w:bidi="en-GB"/>
              </w:rPr>
              <w:t xml:space="preserve">Knowledge and skills</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71"/>
        <w:gridCol w:w="7746"/>
      </w:tblGrid>
      <w:tr>
        <w:tc>
          <w:tcPr>
            <w:tcW w:w="1271"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Essential</w:t>
            </w:r>
          </w:p>
        </w:tc>
        <w:tc>
          <w:tcPr>
            <w:tcW w:w="7746" w:type="dxa"/>
            <w:tcBorders>
              <w:top w:val="single" w:sz="4" w:space="0" w:color="auto"/>
            </w:tcBorders>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PH" w:eastAsia="en-PH" w:bidi="en-PH"/>
              </w:rPr>
            </w:pPr>
            <w:r>
              <w:rPr>
                <w:lang w:val="en-GB" w:eastAsia="en-GB" w:bidi="en-GB"/>
              </w:rPr>
              <w:t xml:space="preserve">Proficient in basic spreadsheet and document preparation using MS Excel and MS Word.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Good communication skills in Filipino and English.</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Able to maintain organized records and handle routine documents with accuracy and confidentiality.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r>
              <w:rPr>
                <w:lang w:val="en-GB" w:eastAsia="en-GB" w:bidi="en-GB"/>
              </w:rPr>
              <w:t xml:space="preserve">Able to follow instructions, meet deadlines, and coordinate simple administrative and logistical tasks.</w:t>
            </w:r>
          </w:p>
        </w:tc>
      </w:tr>
      <w:tr>
        <w:tc>
          <w:tcPr>
            <w:tcW w:w="1271" w:type="dxa"/>
            <w:tcBorders>
              <w:bottom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Desirable</w:t>
            </w:r>
          </w:p>
        </w:tc>
        <w:tc>
          <w:tcPr>
            <w:tcW w:w="7746" w:type="dxa"/>
            <w:tcBorders>
              <w:bottom w:val="single" w:sz="4" w:space="0" w:color="auto"/>
            </w:tcBorders>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PH" w:eastAsia="en-PH" w:bidi="en-PH"/>
              </w:rPr>
            </w:pPr>
            <w:r>
              <w:rPr>
                <w:lang w:val="en-GB" w:eastAsia="en-GB" w:bidi="en-GB"/>
              </w:rPr>
              <w:t xml:space="preserve">Basic knowledge of procurement documentation, inventory monitoring, or project filing systems is an advantage.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7"/>
      </w:tblGrid>
      <w:tr>
        <w:tc>
          <w:tcPr>
            <w:tcW w:w="9017" w:type="dxa"/>
            <w:tcBorders>
              <w:top w:val="single" w:sz="4" w:space="0" w:color="auto"/>
              <w:bottom w:val="single" w:sz="4" w:space="0" w:color="auto"/>
            </w:tcBorders>
            <w:shd w:val="clear" w:color="auto" w:fill="006600"/>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color w:val="FFFFFF"/>
                <w:sz w:val="22"/>
                <w:szCs w:val="22"/>
                <w:lang w:val="en-GB" w:eastAsia="en-GB" w:bidi="en-GB"/>
              </w:rPr>
            </w:pPr>
            <w:r>
              <w:rPr>
                <w:rFonts w:ascii="Calibri" w:hAnsi="Calibri" w:eastAsia="Calibri" w:cs="Calibri"/>
                <w:color w:val="FFFFFF"/>
                <w:sz w:val="22"/>
                <w:szCs w:val="22"/>
                <w:lang w:val="en-GB" w:eastAsia="en-GB" w:bidi="en-GB"/>
              </w:rPr>
              <w:t xml:space="preserve">Additional requirements</w:t>
            </w:r>
          </w:p>
        </w:tc>
      </w:tr>
    </w:tbl>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1271"/>
        <w:gridCol w:w="7746"/>
      </w:tblGrid>
      <w:tr>
        <w:tc>
          <w:tcPr>
            <w:tcW w:w="1271"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Essential</w:t>
            </w:r>
          </w:p>
        </w:tc>
        <w:tc>
          <w:tcPr>
            <w:tcW w:w="7746" w:type="dxa"/>
            <w:tcBorders>
              <w:top w:val="single" w:sz="4" w:space="0" w:color="auto"/>
            </w:tcBorders>
            <w:shd w:val="clear" w:color="auto" w:fill="auto"/>
            <w:vAlign w:val="top"/>
          </w:tcPr>
          <w:p>
            <w:pPr>
              <w:pStyle w:val="ListParagraph"/>
              <w:numPr>
                <w:ilvl w:val="0"/>
                <w:numId w:val="4"/>
              </w:numPr>
              <w:tabs>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30" w:hanging="330"/>
              <w:rPr>
                <w:lang w:val="en-GB" w:eastAsia="en-GB" w:bidi="en-GB"/>
              </w:rPr>
            </w:pPr>
            <w:r>
              <w:rPr>
                <w:lang w:val="en-GB" w:eastAsia="en-GB" w:bidi="en-GB"/>
              </w:rPr>
              <w:t xml:space="preserve">Strong commitment to ZSL values: collaborative, inspiring, inclusive, innovative, impactful, and ethical.</w:t>
            </w:r>
          </w:p>
          <w:p>
            <w:pPr>
              <w:pStyle w:val="ListParagraph"/>
              <w:numPr>
                <w:ilvl w:val="0"/>
                <w:numId w:val="4"/>
              </w:numPr>
              <w:tabs>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30" w:hanging="330"/>
              <w:rPr>
                <w:lang w:val="en-GB" w:eastAsia="en-GB" w:bidi="en-GB"/>
              </w:rPr>
            </w:pPr>
            <w:r>
              <w:rPr>
                <w:lang w:val="en-GB" w:eastAsia="en-GB" w:bidi="en-GB"/>
              </w:rPr>
              <w:t xml:space="preserve">Commitment to safeguarding, equality, and diversity in all project activities.</w:t>
            </w:r>
          </w:p>
          <w:p>
            <w:pPr>
              <w:pStyle w:val="ListParagraph"/>
              <w:numPr>
                <w:ilvl w:val="0"/>
                <w:numId w:val="4"/>
              </w:numPr>
              <w:tabs>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30" w:hanging="330"/>
              <w:rPr>
                <w:lang w:val="en-GB" w:eastAsia="en-GB" w:bidi="en-GB"/>
              </w:rPr>
            </w:pPr>
            <w:r>
              <w:rPr>
                <w:lang w:val="en-GB" w:eastAsia="en-GB" w:bidi="en-GB"/>
              </w:rPr>
              <w:t xml:space="preserve">Compliance with and active promotion of ZSL Health and Safety policies and procedures during all field operations.</w:t>
            </w:r>
          </w:p>
          <w:p>
            <w:pPr>
              <w:pStyle w:val="ListParagraph"/>
              <w:numPr>
                <w:ilvl w:val="0"/>
                <w:numId w:val="4"/>
              </w:numPr>
              <w:tabs>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30" w:hanging="330"/>
              <w:rPr>
                <w:lang w:val="en-GB" w:eastAsia="en-GB" w:bidi="en-GB"/>
              </w:rPr>
            </w:pPr>
            <w:r>
              <w:rPr>
                <w:lang w:val="en-GB" w:eastAsia="en-GB" w:bidi="en-GB"/>
              </w:rPr>
              <w:t xml:space="preserve">Willingness to travel to project sites as required by the workplan.</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b/>
          <w:bCs/>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6"/>
          <w:szCs w:val="26"/>
          <w:lang w:val="en-US" w:eastAsia="en-US" w:bidi="en-US"/>
        </w:rPr>
      </w:pPr>
      <w:r>
        <w:rPr>
          <w:b/>
          <w:bCs/>
          <w:sz w:val="26"/>
          <w:szCs w:val="26"/>
          <w:lang w:val="en-US" w:eastAsia="en-US" w:bidi="en-US"/>
        </w:rPr>
        <w:t xml:space="preserve">Acknowledgement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US" w:eastAsia="en-US" w:bidi="en-US"/>
        </w:rPr>
      </w:pPr>
      <w:r>
        <w:rPr>
          <w:lang w:val="en-US" w:eastAsia="en-US" w:bidi="en-US"/>
        </w:rPr>
        <w:t xml:space="preserve">I have read and understood the Job Description, and I hereby acknowledge the conditions and responsibilities for the job as stipulated in this Job Description.</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US" w:eastAsia="en-US" w:bidi="en-US"/>
        </w:rPr>
      </w:pPr>
    </w:p>
    <w:tbl>
      <w:tblPr>
        <w:tblW w:w="0" w:type="auto"/>
        <w:jc w:val="left"/>
        <w:tblInd w:w="347" w:type="dxa"/>
        <w:tblBorders>
          <w:top w:val="none"/>
          <w:left w:val="none"/>
          <w:bottom w:val="none"/>
          <w:right w:val="none"/>
          <w:insideH w:val="single" w:sz="4" w:space="0" w:color="auto"/>
          <w:insideV w:val="none"/>
        </w:tblBorders>
        <w:tblLayout w:type="fixed"/>
        <w:tblCellMar>
          <w:top w:w="0" w:type="dxa"/>
          <w:left w:w="108" w:type="dxa"/>
          <w:bottom w:w="0" w:type="dxa"/>
          <w:right w:w="108" w:type="dxa"/>
        </w:tblCellMar>
      </w:tblPr>
      <w:tblGrid>
        <w:gridCol w:w="4860"/>
        <w:gridCol w:w="697"/>
        <w:gridCol w:w="2775"/>
      </w:tblGrid>
      <w:tr>
        <w:tc>
          <w:tcPr>
            <w:tcW w:w="4860"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lang w:val="en-US" w:eastAsia="en-US" w:bidi="en-US"/>
              </w:rPr>
            </w:pPr>
          </w:p>
        </w:tc>
        <w:tc>
          <w:tcPr>
            <w:tcW w:w="697" w:type="dxa"/>
            <w:tcBorders>
              <w:bottom w:val="nil"/>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tc>
        <w:tc>
          <w:tcPr>
            <w:tcW w:w="2775"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tc>
      </w:tr>
      <w:tr>
        <w:tc>
          <w:tcPr>
            <w:tcW w:w="4860"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US" w:eastAsia="en-US" w:bidi="en-US"/>
              </w:rPr>
            </w:pPr>
            <w:r>
              <w:rPr>
                <w:lang w:val="en-US" w:eastAsia="en-US" w:bidi="en-US"/>
              </w:rPr>
              <w:t xml:space="preserve">Job Holder’s Signature over Printed Name</w:t>
            </w:r>
          </w:p>
        </w:tc>
        <w:tc>
          <w:tcPr>
            <w:tcW w:w="697" w:type="dxa"/>
            <w:tcBorders>
              <w:top w:val="nil"/>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tc>
        <w:tc>
          <w:tcPr>
            <w:tcW w:w="2775"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US" w:eastAsia="en-US" w:bidi="en-US"/>
              </w:rPr>
            </w:pPr>
            <w:r>
              <w:rPr>
                <w:lang w:val="en-US" w:eastAsia="en-US" w:bidi="en-US"/>
              </w:rPr>
              <w:t xml:space="preserve">Date signed</w:t>
            </w:r>
          </w:p>
        </w:tc>
      </w:tr>
    </w:tbl>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US" w:eastAsia="en-US" w:bidi="en-US"/>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iCs/>
          <w:sz w:val="20"/>
          <w:szCs w:val="20"/>
          <w:lang w:val="en-US" w:eastAsia="en-US" w:bidi="en-US"/>
        </w:rPr>
      </w:pPr>
      <w:r>
        <w:rPr>
          <w:i/>
          <w:iCs/>
          <w:sz w:val="20"/>
          <w:szCs w:val="20"/>
          <w:lang w:val="en-US" w:eastAsia="en-US" w:bidi="en-US"/>
        </w:rPr>
        <w:t xml:space="preserve">Kindly affix your signature and date signed on each page of the 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eastAsia="Calibri" w:cs="Calibri"/>
          <w:i/>
          <w:iCs/>
          <w:sz w:val="20"/>
          <w:szCs w:val="20"/>
          <w:lang w:val="en-US" w:eastAsia="en-US" w:bidi="en-US"/>
        </w:rPr>
      </w:pPr>
    </w:p>
    <w:sectPr>
      <w:headerReference w:type="default" r:id="rId00007"/>
      <w:footerReference w:type="default" r:id="rId00008"/>
      <w:headerReference w:type="first" r:id="rId00009"/>
      <w:footerReference w:type="first" r:id="rId00010"/>
      <w:type w:val="continuous"/>
      <w:pgSz w:w="11907" w:h="16840"/>
      <w:pgMar w:top="1440" w:right="1440" w:bottom="1440" w:left="1440" w:header="1134" w:footer="851"/>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3005"/>
      <w:gridCol w:w="3005"/>
      <w:gridCol w:w="3005"/>
    </w:tblGrid>
    <w:tr>
      <w:trPr>
        <w:trHeight w:val="300" w:hRule="atLeast"/>
      </w:trPr>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lang w:val="en-GB" w:eastAsia="en-GB" w:bidi="en-GB"/>
            </w:rPr>
          </w:pPr>
        </w:p>
      </w:tc>
    </w:tr>
  </w:tbl>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3005"/>
      <w:gridCol w:w="3005"/>
      <w:gridCol w:w="3005"/>
    </w:tblGrid>
    <w:tr>
      <w:trPr>
        <w:trHeight w:val="300" w:hRule="atLeast"/>
      </w:trPr>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lang w:val="en-GB" w:eastAsia="en-GB" w:bidi="en-GB"/>
            </w:rPr>
          </w:pPr>
        </w:p>
      </w:tc>
    </w:tr>
  </w:tbl>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3005"/>
      <w:gridCol w:w="3005"/>
      <w:gridCol w:w="3005"/>
    </w:tblGrid>
    <w:tr>
      <w:trPr>
        <w:trHeight w:val="300" w:hRule="atLeast"/>
      </w:trPr>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rPr>
              <w:lang w:val="en-GB" w:eastAsia="en-GB" w:bidi="en-GB"/>
            </w:rPr>
          </w:pPr>
        </w:p>
      </w:tc>
      <w:tc>
        <w:tcPr>
          <w:tcW w:w="3005" w:type="dxa"/>
          <w:shd w:val="clear" w:color="auto" w:fill="auto"/>
          <w:vAlign w:val="top"/>
        </w:tcPr>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lang w:val="en-GB" w:eastAsia="en-GB" w:bidi="en-GB"/>
            </w:rPr>
          </w:pPr>
        </w:p>
      </w:tc>
    </w:tr>
  </w:tbl>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hdr>
</file>

<file path=word/header0001_first.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r>
      <w:drawing>
        <wp:anchor distT="0" distB="0" distL="114300" distR="114300" simplePos="0" relativeHeight="251659264" behindDoc="0" locked="0" layoutInCell="1" hidden="0" allowOverlap="1">
          <wp:simplePos x="0" y="0"/>
          <wp:positionH relativeFrom="column">
            <wp:posOffset>-666115</wp:posOffset>
          </wp:positionH>
          <wp:positionV relativeFrom="paragraph">
            <wp:posOffset>0</wp:posOffset>
          </wp:positionV>
          <wp:extent cx="1416685" cy="708025"/>
          <wp:wrapSquare wrapText="bothSides"/>
          <wp:docPr id="1" name="Picture 2"/>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1416685" cy="708025"/>
                  </a:xfrm>
                  <a:prstGeom prst="rect">
                    <a:avLst/>
                  </a:prstGeom>
                </pic:spPr>
              </pic:pic>
            </a:graphicData>
          </a:graphic>
        </wp:anchor>
      </w:draw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3">
    <w:multiLevelType w:val="singleLevel"/>
    <w:lvl w:ilvl="0">
      <w:start w:val="1"/>
      <w:numFmt w:val="bullet"/>
      <w:suff w:val="tab"/>
      <w:lvlText w:val=""/>
      <w:pPr>
        <w:ind w:left="330" w:hanging="330"/>
        <w:tabs>
          <w:tab w:val="num" w:pos="33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er">
    <w:name w:val="header"/>
    <w:basedOn w:val="Normal"/>
    <w:next w:val="Header"/>
    <w:qFormat/>
    <w:pPr>
      <w:tabs>
        <w:tab w:val="center" w:pos="4320"/>
        <w:tab w:val="right" w:pos="8640"/>
      </w:tabs>
    </w:pPr>
    <w:rPr>
      <w:lang w:val="en-GB" w:eastAsia="en-GB" w:bidi="en-GB"/>
    </w:rPr>
  </w:style>
  <w:style w:type="paragraph" w:styleId="Footer">
    <w:name w:val="footer"/>
    <w:basedOn w:val="Normal"/>
    <w:next w:val="Footer"/>
    <w:qFormat/>
    <w:pPr>
      <w:tabs>
        <w:tab w:val="center" w:pos="4320"/>
        <w:tab w:val="right" w:pos="8640"/>
      </w:tabs>
    </w:pPr>
    <w:rPr>
      <w:lang w:val="en-GB" w:eastAsia="en-GB" w:bidi="en-GB"/>
    </w:rPr>
  </w:style>
  <w:style w:type="paragraph" w:styleId="Heading3">
    <w:name w:val="heading 3"/>
    <w:basedOn w:val="Normal"/>
    <w:next w:val="Normal"/>
    <w:qFormat/>
    <w:pPr>
      <w:keepNext/>
      <w:jc w:val="center"/>
      <w:outlineLvl w:val="2"/>
    </w:pPr>
    <w:rPr>
      <w:rFonts w:ascii="Arial" w:hAnsi="Arial" w:eastAsia="Arial" w:cs="Arial"/>
      <w:b/>
      <w:bCs/>
      <w:u w:val="single"/>
      <w:lang w:val="en-GB" w:eastAsia="en-GB" w:bidi="en-GB"/>
    </w:rPr>
  </w:style>
  <w:style w:type="paragraph" w:styleId="ListParagraph">
    <w:name w:val="List Paragraph"/>
    <w:basedOn w:val="Normal"/>
    <w:next w:val="ListParagraph"/>
    <w:qFormat/>
    <w:pPr>
      <w:spacing w:after="200" w:line="276" w:lineRule="auto"/>
      <w:ind w:left="720"/>
    </w:pPr>
    <w:rPr>
      <w:rFonts w:ascii="Calibri" w:hAnsi="Calibri" w:eastAsia="Calibri" w:cs="Calibri"/>
      <w:sz w:val="22"/>
      <w:szCs w:val="22"/>
      <w:lang w:val="en-GB" w:eastAsia="en-GB" w:bidi="en-GB"/>
    </w:rPr>
  </w:style>
  <w:style w:type="paragraph" w:styleId="Heading1">
    <w:name w:val="heading 1"/>
    <w:basedOn w:val="Normal"/>
    <w:next w:val="Normal"/>
    <w:qFormat/>
    <w:pPr>
      <w:keepNext/>
      <w:outlineLvl w:val="0"/>
    </w:pPr>
    <w:rPr>
      <w:rFonts w:ascii="Arial" w:hAnsi="Arial" w:eastAsia="Arial" w:cs="Arial"/>
      <w:u w:val="single"/>
      <w:lang w:val="en-GB" w:eastAsia="en-GB" w:bidi="en-GB"/>
    </w:rPr>
  </w:style>
  <w:style w:type="paragraph" w:styleId="Heading2">
    <w:name w:val="heading 2"/>
    <w:basedOn w:val="Normal"/>
    <w:next w:val="Normal"/>
    <w:qFormat/>
    <w:pPr>
      <w:keepNext/>
      <w:jc w:val="center"/>
      <w:outlineLvl w:val="1"/>
    </w:pPr>
    <w:rPr>
      <w:rFonts w:ascii="Arial" w:hAnsi="Arial" w:eastAsia="Arial" w:cs="Arial"/>
      <w:b/>
      <w:bCs/>
      <w:lang w:val="en-GB" w:eastAsia="en-GB" w:bidi="en-GB"/>
    </w:rPr>
  </w:style>
  <w:style w:type="paragraph" w:styleId="Heading4">
    <w:name w:val="heading 4"/>
    <w:basedOn w:val="Normal"/>
    <w:next w:val="Normal"/>
    <w:qFormat/>
    <w:pPr>
      <w:keepNext/>
      <w:outlineLvl w:val="3"/>
    </w:pPr>
    <w:rPr>
      <w:rFonts w:ascii="Arial" w:hAnsi="Arial" w:eastAsia="Arial" w:cs="Arial"/>
      <w:b/>
      <w:bCs/>
      <w:u w:val="single"/>
      <w:lang w:val="en-GB" w:eastAsia="en-GB" w:bidi="en-GB"/>
    </w:rPr>
  </w:style>
  <w:style w:type="paragraph" w:styleId="Heading5">
    <w:name w:val="heading 5"/>
    <w:basedOn w:val="Normal"/>
    <w:next w:val="Normal"/>
    <w:qFormat/>
    <w:pPr>
      <w:keepNext/>
      <w:outlineLvl w:val="4"/>
    </w:pPr>
    <w:rPr>
      <w:rFonts w:ascii="Arial" w:hAnsi="Arial" w:eastAsia="Arial" w:cs="Arial"/>
      <w:b/>
      <w:bCs/>
      <w:lang w:val="en-GB" w:eastAsia="en-GB" w:bidi="en-GB"/>
    </w:rPr>
  </w:style>
  <w:style w:type="paragraph" w:styleId="p12" w:customStyle="1">
    <w:name w:val="p12"/>
    <w:basedOn w:val="Normal"/>
    <w:next w:val="p12"/>
    <w:qFormat/>
    <w:pPr>
      <w:widowControl w:val="off"/>
      <w:spacing w:line="280" w:lineRule="atLeast"/>
      <w:ind w:left="720" w:hanging="720"/>
    </w:pPr>
    <w:rPr>
      <w:lang w:val="en-GB" w:eastAsia="en-GB" w:bidi="en-GB"/>
    </w:rPr>
  </w:style>
  <w:style w:type="paragraph" w:styleId="Medium Grid 1 - Accent 21" w:customStyle="1">
    <w:name w:val="Medium Grid 1 - Accent 21"/>
    <w:basedOn w:val="Normal"/>
    <w:next w:val="Medium Grid 1 - Accent 21"/>
    <w:qFormat/>
    <w:pPr>
      <w:ind w:left="720"/>
    </w:pPr>
    <w:rPr>
      <w:lang w:val="en-GB" w:eastAsia="en-GB" w:bidi="en-GB"/>
    </w:rPr>
  </w:style>
  <w:style w:type="paragraph" w:styleId="Colorful List - Accent 11" w:customStyle="1">
    <w:name w:val="Colorful List - Accent 11"/>
    <w:basedOn w:val="Normal"/>
    <w:next w:val="Colorful List - Accent 11"/>
    <w:qFormat/>
    <w:pPr>
      <w:ind w:left="720"/>
    </w:pPr>
    <w:rPr>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tl w:val="off"/>
      <w:lang w:val="en-GB" w:eastAsia="en-GB" w:bidi="en-GB"/>
    </w:rPr>
  </w:style>
  <w:style w:type="character" w:styleId="Comment Subject Char" w:customStyle="1">
    <w:name w:val="Comment Subject Char"/>
    <w:basedOn w:val="Comment Text Char"/>
    <w:qFormat/>
    <w:rPr>
      <w:b/>
      <w:bCs/>
      <w:lang w:val="en-GB" w:eastAsia="en-GB" w:bidi="en-GB"/>
    </w:rPr>
  </w:style>
  <w:style w:type="paragraph" w:styleId="NormalWeb">
    <w:name w:val="Normal (Web)"/>
    <w:basedOn w:val="Normal"/>
    <w:next w:val="NormalWeb"/>
    <w:qFormat/>
    <w:pPr/>
    <w:rPr>
      <w:lang w:val="en-GB" w:eastAsia="en-GB" w:bidi="en-GB"/>
    </w:rPr>
  </w:style>
  <w:style w:type="character" w:styleId="Hyperlink">
    <w:name w:val="Hyperlink"/>
    <w:qFormat/>
    <w:rPr>
      <w:color w:val="0000FF"/>
      <w:u w:val="single"/>
      <w:rtl w:val="off"/>
    </w:rPr>
  </w:style>
  <w:style w:type="character" w:styleId="UnresolvedMention">
    <w:name w:val="Unresolved Mention"/>
    <w:qFormat/>
    <w:rPr>
      <w:color w:val="605E5C"/>
      <w:shd w:val="clear" w:color="auto" w:fill="E1DFDD"/>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US" w:eastAsia="en-US" w:bidi="en-US"/>
    </w:rPr>
  </w:style>
  <w:style w:type="character" w:styleId="Heading 4 Char" w:customStyle="1">
    <w:name w:val="Heading 4 Char"/>
    <w:qFormat/>
    <w:rPr>
      <w:rFonts w:ascii="Arial" w:hAnsi="Arial" w:eastAsia="Arial" w:cs="Arial"/>
      <w:b/>
      <w:bCs/>
      <w:sz w:val="24"/>
      <w:szCs w:val="24"/>
      <w:u w:val="single"/>
      <w:rtl w:val="off"/>
      <w:lang w:val="en-GB" w:eastAsia="en-GB" w:bidi="en-GB"/>
    </w:rPr>
  </w:style>
  <w:style w:type="character" w:styleId="Balloon Text Char" w:customStyle="1">
    <w:name w:val="Balloon Text Char"/>
    <w:qFormat/>
    <w:rPr>
      <w:rFonts w:ascii="Tahoma" w:hAnsi="Tahoma" w:eastAsia="Tahoma" w:cs="Tahoma"/>
      <w:sz w:val="16"/>
      <w:szCs w:val="16"/>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header" Target="header0001.xml"/>
	<Relationship Id="rId00008" Type="http://schemas.openxmlformats.org/officeDocument/2006/relationships/footer" Target="footer0001.xml"/>
	<Relationship Id="rId00009" Type="http://schemas.openxmlformats.org/officeDocument/2006/relationships/header" Target="header0001_first.xml"/>
	<Relationship Id="rId00010" Type="http://schemas.openxmlformats.org/officeDocument/2006/relationships/footer" Target="footer0001_first.xml"/>
	<Relationship Id="rId00011" Type="http://schemas.openxmlformats.org/officeDocument/2006/relationships/numbering" Target="numbering.xml"/>
	<Relationship Id="rId00012" Type="http://schemas.openxmlformats.org/officeDocument/2006/relationships/fontTable" Target="fontTable.xml"/>
	<Relationship Id="rId00013" Type="http://schemas.openxmlformats.org/officeDocument/2006/relationships/settings" Target="settings.xml"/>
</Relationships>
</file>

<file path=word/_rels/header0001_first.xml.rels><?xml version="1.0" encoding="UTF-8" standalone="yes"?><Relationships xmlns="http://schemas.openxmlformats.org/package/2006/relationships">
	<Relationship Id="rId00006"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dcterms:created xsi:type="dcterms:W3CDTF">2026-09-03T09:03:00Z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b1c78038-b0e6-4237-a3a1-7a46529c5947</vt:lpwstr>
  </property>
  <property fmtid="{D5CDD505-2E9C-101B-9397-08002B2CF9AE}" pid="3" name="Team">
    <vt:lpwstr>5;#HR|12cf6d2f-e5d5-4afc-acb4-2881efab8e57</vt:lpwstr>
  </property>
  <property fmtid="{D5CDD505-2E9C-101B-9397-08002B2CF9AE}" pid="4" name="Document language">
    <vt:lpwstr>1;#English|8e6f1ede-5386-4ba2-be58-056b572f25ee</vt:lpwstr>
  </property>
  <property fmtid="{D5CDD505-2E9C-101B-9397-08002B2CF9AE}" pid="5" name="Zoogle Topic">
    <vt:lpwstr>39;#Working at ZSL|056a4b02-b401-44f2-9d48-66e1cd174674;#9;#Managing our people|1418240b-1ec6-46ab-8294-8e7c0cd8ecd4</vt:lpwstr>
  </property>
  <property fmtid="{D5CDD505-2E9C-101B-9397-08002B2CF9AE}" pid="6" name="ContentTypeId">
    <vt:lpwstr>0x010100D06BB0C5BAF8E54A940916A91E5CB2630022390AFFB7976C4F82812D3ABB053505</vt:lpwstr>
  </property>
  <property fmtid="{D5CDD505-2E9C-101B-9397-08002B2CF9AE}" pid="7" name="xd_Signature">
    <vt:bool>false</vt:bool>
  </property>
</Properties>
</file>