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heic" ContentType="image/heic"/>
  <Default Extension="svg" ContentType="image/svg+xml"/>
  <Default Extension="bin" ContentType="application/vnd.openxmlformats-officedocument.oleObject"/>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header0001.xml" ContentType="application/vnd.openxmlformats-officedocument.wordprocessingml.header+xml"/>
  <Override PartName="/word/footer0001.xml" ContentType="application/vnd.openxmlformats-officedocument.wordprocessingml.footer+xml"/>
  <Override PartName="/word/header0001_first.xml" ContentType="application/vnd.openxmlformats-officedocument.wordprocessingml.header+xml"/>
  <Override PartName="/word/footer0001_first.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 Id="rId00002" Type="http://schemas.openxmlformats.org/package/2006/relationships/metadata/core-properties" Target="docProps/core.xml"/>
	<Relationship Id="rId00003" Type="http://schemas.openxmlformats.org/officeDocument/2006/relationships/extended-properties" Target="docProps/app.xml"/>
	<Relationship Id="rId00004" Type="http://schemas.openxmlformats.org/officeDocument/2006/relationships/custom-properties" Target="docProps/custom.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body>
    <w:p>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lang w:val="en-GB" w:eastAsia="en-GB" w:bidi="en-GB"/>
        </w:rPr>
      </w:pPr>
      <w:r>
        <w:rPr>
          <w:u w:val="none"/>
          <w:lang w:val="en-GB" w:eastAsia="en-GB" w:bidi="en-GB"/>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44"/>
          <w:szCs w:val="44"/>
          <w:lang w:val="en-GB" w:eastAsia="en-GB" w:bidi="en-GB"/>
        </w:rPr>
      </w:pPr>
      <w:r>
        <w:rPr>
          <w:rFonts w:ascii="Calibri" w:hAnsi="Calibri" w:eastAsia="Calibri" w:cs="Calibri"/>
          <w:b/>
          <w:bCs/>
          <w:color w:val="006600"/>
          <w:sz w:val="44"/>
          <w:szCs w:val="44"/>
          <w:lang w:val="en-GB" w:eastAsia="en-GB" w:bidi="en-GB"/>
        </w:rPr>
        <w:t xml:space="preserve">Sustainable Business Project Analyst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3"/>
        <w:gridCol w:w="2835"/>
        <w:gridCol w:w="1276"/>
        <w:gridCol w:w="3492"/>
      </w:tblGrid>
      <w:tr>
        <w:trPr>
          <w:trHeight w:val="596" w:hRule="atLeast"/>
        </w:trP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Job level</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Level 3</w:t>
            </w: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Reports to</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Sustainable Business Project Manager</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Directorate</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Conservation &amp; Policy </w:t>
            </w: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Function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Sustainable Business &amp; Finance Department</w:t>
            </w:r>
          </w:p>
        </w:tc>
      </w:tr>
      <w:tr>
        <w:tc>
          <w:tcPr>
            <w:tcW w:w="1413"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Contract </w:t>
            </w:r>
          </w:p>
        </w:tc>
        <w:tc>
          <w:tcPr>
            <w:tcW w:w="2835"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Fixed Term</w:t>
            </w:r>
          </w:p>
        </w:tc>
        <w:tc>
          <w:tcPr>
            <w:tcW w:w="1276"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Location</w:t>
            </w:r>
          </w:p>
        </w:tc>
        <w:tc>
          <w:tcPr>
            <w:tcW w:w="349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Regent’s Park &amp; Homeworking</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8"/>
          <w:szCs w:val="28"/>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Responsibility for resources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11"/>
        <w:gridCol w:w="2822"/>
        <w:gridCol w:w="1612"/>
        <w:gridCol w:w="3324"/>
      </w:tblGrid>
      <w:tr>
        <w:trPr>
          <w:trHeight w:val="596" w:hRule="atLeast"/>
        </w:trP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Direct line reports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rPr>
                <w:b/>
                <w:bCs/>
                <w:lang w:val="en-GB" w:eastAsia="en-GB" w:bidi="en-GB"/>
              </w:rPr>
            </w:pPr>
            <w:r>
              <w:rPr>
                <w:rFonts w:ascii="Calibri" w:hAnsi="Calibri" w:eastAsia="Calibri" w:cs="Calibri"/>
                <w:lang w:val="en-GB" w:eastAsia="en-GB" w:bidi="en-GB"/>
              </w:rPr>
              <w:t xml:space="preserve">None</w:t>
            </w:r>
          </w:p>
        </w:tc>
        <w:tc>
          <w:tcPr>
            <w:tcW w:w="1612" w:type="dxa"/>
            <w:vMerge w:val="restart"/>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Responsibility for other resources</w:t>
            </w:r>
          </w:p>
        </w:tc>
        <w:tc>
          <w:tcPr>
            <w:tcW w:w="3324" w:type="dxa"/>
            <w:vMerge w:val="restart"/>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SPOTT palm oil &amp; rubber assessments</w:t>
            </w:r>
          </w:p>
        </w:tc>
      </w:tr>
      <w:tr>
        <w:tc>
          <w:tcPr>
            <w:tcW w:w="1411" w:type="dxa"/>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alibri" w:hAnsi="Calibri" w:eastAsia="Calibri" w:cs="Calibri"/>
                <w:b/>
                <w:bCs/>
                <w:color w:val="FFFFFF"/>
                <w:sz w:val="22"/>
                <w:szCs w:val="22"/>
                <w:lang w:val="en-GB" w:eastAsia="en-GB" w:bidi="en-GB"/>
              </w:rPr>
            </w:pPr>
            <w:r>
              <w:rPr>
                <w:rFonts w:ascii="Calibri" w:hAnsi="Calibri" w:eastAsia="Calibri" w:cs="Calibri"/>
                <w:b/>
                <w:bCs/>
                <w:color w:val="FFFFFF"/>
                <w:sz w:val="22"/>
                <w:szCs w:val="22"/>
                <w:lang w:val="en-GB" w:eastAsia="en-GB" w:bidi="en-GB"/>
              </w:rPr>
              <w:t xml:space="preserve">Financial resources</w:t>
            </w:r>
          </w:p>
        </w:tc>
        <w:tc>
          <w:tcPr>
            <w:tcW w:w="2822" w:type="dxa"/>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rPr>
                <w:lang w:val="en-GB" w:eastAsia="en-GB" w:bidi="en-GB"/>
              </w:rPr>
            </w:pPr>
            <w:r>
              <w:rPr>
                <w:rFonts w:ascii="Calibri" w:hAnsi="Calibri" w:eastAsia="Calibri" w:cs="Calibri"/>
                <w:lang w:val="en-GB" w:eastAsia="en-GB" w:bidi="en-GB"/>
              </w:rPr>
              <w:t xml:space="preserve">None</w:t>
            </w:r>
          </w:p>
        </w:tc>
        <w:tc>
          <w:tcPr>
            <w:tcW w:w="1612" w:type="dxa"/>
            <w:vMerge w:val="continue"/>
            <w:shd w:val="clear" w:color="auto" w:fill="auto"/>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rPr>
                <w:sz w:val="24"/>
              </w:rPr>
            </w:pPr>
          </w:p>
        </w:tc>
        <w:tc>
          <w:tcPr>
            <w:tcW w:w="3324" w:type="dxa"/>
            <w:vMerge w:val="continue"/>
            <w:shd w:val="clear" w:color="auto" w:fill="auto"/>
            <w:vAlign w:val="top"/>
          </w:tcPr>
          <w:p>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06"/>
              </w:tabs>
              <w:rPr>
                <w:sz w:val="24"/>
              </w:rPr>
            </w:pP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24406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Our vision and mission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Zoological Society of London (ZSL) is an international conservation charity, driven by science, working to restore wildlife in the UK and around the world. Our vision is a world where wildlife thrives and every role, every person in every corner of ZSL has one thing in common – we are all conservationists, and passionate about restoring wildlife.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ZSL Sustainable Business and Finance programme (SBF) works to achieve a world where business and financial institutions practices protect &amp; enhance biodiversity.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Purpose of the role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lang w:val="en-GB" w:eastAsia="en-GB" w:bidi="en-GB"/>
        </w:rPr>
      </w:pPr>
    </w:p>
    <w:p>
      <w:pPr>
        <w:pStyle w:val="[Normal]"/>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Sustainable Business Project Analyst will be responsible for coordinating and conducting in-depth environmental, social and governance (ESG) assessments of company policies and commitments, disclosures of their operations, and progress reporting for the SPOTT project. </w:t>
      </w:r>
    </w:p>
    <w:p>
      <w:pPr>
        <w:pStyle w:val="[Normal]"/>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Main duties &amp; key responsibilities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ESG Assessments &amp; Coordination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p>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8931"/>
      </w:tblGrid>
      <w:tr>
        <w:trPr>
          <w:trHeight w:val="298" w:hRule="atLeast"/>
        </w:trPr>
        <w:tc>
          <w:tcPr>
            <w:tcW w:w="8931" w:type="dxa"/>
            <w:shd w:val="clear" w:color="auto" w:fill="auto"/>
            <w:vAlign w:val="center"/>
          </w:tcPr>
          <w:p>
            <w:pPr>
              <w:pStyle w:val="[Normal]"/>
              <w:numPr>
                <w:ilvl w:val="0"/>
                <w:numId w:val="1"/>
              </w:numPr>
              <w:tabs>
                <w:tab w:val="left" w:pos="463"/>
                <w:tab w:val="clear" w:pos="15876"/>
              </w:tabs>
              <w:ind w:left="463" w:hanging="357"/>
              <w:jc w:val="both"/>
              <w:rPr>
                <w:rFonts w:ascii="Calibri" w:hAnsi="Calibri" w:eastAsia="Calibri" w:cs="Calibri"/>
                <w:sz w:val="22"/>
                <w:szCs w:val="22"/>
                <w:lang w:val="en-GB" w:eastAsia="en-GB" w:bidi="en-GB"/>
              </w:rPr>
            </w:pPr>
            <w:r>
              <w:rPr>
                <w:rFonts w:ascii="Calibri" w:hAnsi="Calibri" w:eastAsia="Calibri" w:cs="Calibri"/>
                <w:b/>
                <w:bCs/>
                <w:sz w:val="22"/>
                <w:szCs w:val="22"/>
                <w:lang w:val="en-GB" w:eastAsia="en-GB" w:bidi="en-GB"/>
              </w:rPr>
              <w:t xml:space="preserve">SPOTT assessments:</w:t>
            </w:r>
            <w:r>
              <w:rPr>
                <w:rFonts w:ascii="Calibri" w:hAnsi="Calibri" w:eastAsia="Calibri" w:cs="Calibri"/>
                <w:sz w:val="22"/>
                <w:szCs w:val="22"/>
                <w:lang w:val="en-GB" w:eastAsia="en-GB" w:bidi="en-GB"/>
              </w:rPr>
              <w:t xml:space="preserve"> Conducting ESG assessments of palm oil and rubber companies according to the SPOTT indicator framework. This includes collecting information on company policies and commitments, disclosures of their operations, and progress reporting from publicly available sources (e.g. company websites, sustainability reports) and synthesising data and scores within an online assessment platform (Probench).</w:t>
            </w:r>
          </w:p>
          <w:p>
            <w:pPr>
              <w:pStyle w:val="[Normal]"/>
              <w:numPr>
                <w:ilvl w:val="0"/>
                <w:numId w:val="1"/>
              </w:numPr>
              <w:tabs>
                <w:tab w:val="left" w:pos="463"/>
                <w:tab w:val="clear" w:pos="15876"/>
              </w:tabs>
              <w:ind w:left="463" w:hanging="357"/>
              <w:jc w:val="both"/>
              <w:rPr>
                <w:rFonts w:ascii="Calibri" w:hAnsi="Calibri" w:eastAsia="Calibri" w:cs="Calibri"/>
                <w:sz w:val="22"/>
                <w:szCs w:val="22"/>
                <w:lang w:val="en-GB" w:eastAsia="en-GB" w:bidi="en-GB"/>
              </w:rPr>
            </w:pPr>
            <w:r>
              <w:rPr>
                <w:rFonts w:ascii="Calibri" w:hAnsi="Calibri" w:eastAsia="Calibri" w:cs="Calibri"/>
                <w:b/>
                <w:bCs/>
                <w:sz w:val="22"/>
                <w:szCs w:val="22"/>
                <w:lang w:val="en-GB" w:eastAsia="en-GB" w:bidi="en-GB"/>
              </w:rPr>
              <w:t xml:space="preserve">Coordinating external assessors:</w:t>
            </w:r>
            <w:r>
              <w:rPr>
                <w:rFonts w:ascii="Calibri" w:hAnsi="Calibri" w:eastAsia="Calibri" w:cs="Calibri"/>
                <w:sz w:val="22"/>
                <w:szCs w:val="22"/>
                <w:lang w:val="en-GB" w:eastAsia="en-GB" w:bidi="en-GB"/>
              </w:rPr>
              <w:t xml:space="preserve"> Providing technical support and training to external 3rd party assessors to ensure high quality SPOTT assessments. This includes initial and refresher training, ad-hoc assessment support, running weekly meetings to ensure progress and answer questions, defining and monitoring the workplan for outsourcing and quality review of 3rd party assessments.</w:t>
            </w:r>
          </w:p>
          <w:p>
            <w:pPr>
              <w:pStyle w:val="[Normal]"/>
              <w:numPr>
                <w:ilvl w:val="0"/>
                <w:numId w:val="1"/>
              </w:numPr>
              <w:tabs>
                <w:tab w:val="left" w:pos="463"/>
                <w:tab w:val="clear" w:pos="15876"/>
              </w:tabs>
              <w:ind w:left="463" w:hanging="357"/>
              <w:jc w:val="both"/>
              <w:rPr>
                <w:rFonts w:ascii="Calibri" w:hAnsi="Calibri" w:eastAsia="Calibri" w:cs="Calibri"/>
                <w:sz w:val="22"/>
                <w:szCs w:val="22"/>
                <w:lang w:val="en-GB" w:eastAsia="en-GB" w:bidi="en-GB"/>
              </w:rPr>
            </w:pPr>
            <w:r>
              <w:rPr>
                <w:rFonts w:ascii="Calibri" w:hAnsi="Calibri" w:eastAsia="Calibri" w:cs="Calibri"/>
                <w:b/>
                <w:bCs/>
                <w:sz w:val="22"/>
                <w:szCs w:val="22"/>
                <w:lang w:val="en-GB" w:eastAsia="en-GB" w:bidi="en-GB"/>
              </w:rPr>
              <w:t xml:space="preserve">Quality assurance:</w:t>
            </w:r>
            <w:r>
              <w:rPr>
                <w:rFonts w:ascii="Calibri" w:hAnsi="Calibri" w:eastAsia="Calibri" w:cs="Calibri"/>
                <w:sz w:val="22"/>
                <w:szCs w:val="22"/>
                <w:lang w:val="en-GB" w:eastAsia="en-GB" w:bidi="en-GB"/>
              </w:rPr>
              <w:t xml:space="preserve"> Sample-based quality review of assessments conducted by 3rd party assessors as well as internal assessors to ensure adherence to SPOTT assessment procedures.</w:t>
            </w:r>
          </w:p>
          <w:p>
            <w:pPr>
              <w:pStyle w:val="[Normal]"/>
              <w:numPr>
                <w:ilvl w:val="0"/>
                <w:numId w:val="1"/>
              </w:numPr>
              <w:tabs>
                <w:tab w:val="left" w:pos="463"/>
                <w:tab w:val="clear" w:pos="15876"/>
              </w:tabs>
              <w:ind w:left="463" w:hanging="357"/>
              <w:jc w:val="both"/>
              <w:rPr>
                <w:rFonts w:ascii="Calibri" w:hAnsi="Calibri" w:eastAsia="Calibri" w:cs="Calibri"/>
                <w:sz w:val="22"/>
                <w:szCs w:val="22"/>
                <w:lang w:val="en-GB" w:eastAsia="en-GB" w:bidi="en-GB"/>
              </w:rPr>
            </w:pPr>
            <w:r>
              <w:rPr>
                <w:rFonts w:ascii="Calibri" w:hAnsi="Calibri" w:eastAsia="Calibri" w:cs="Calibri"/>
                <w:b/>
                <w:bCs/>
                <w:sz w:val="22"/>
                <w:szCs w:val="22"/>
                <w:lang w:val="en-GB" w:eastAsia="en-GB" w:bidi="en-GB"/>
              </w:rPr>
              <w:t xml:space="preserve">Database administration:</w:t>
            </w:r>
            <w:r>
              <w:rPr>
                <w:rFonts w:ascii="Calibri" w:hAnsi="Calibri" w:eastAsia="Calibri" w:cs="Calibri"/>
                <w:sz w:val="22"/>
                <w:szCs w:val="22"/>
                <w:lang w:val="en-GB" w:eastAsia="en-GB" w:bidi="en-GB"/>
              </w:rPr>
              <w:t xml:space="preserve"> Coordinating with 3rd party consultant to obtain the necessary downloads of assessment data from Probench, cleaning data before it is uploaded by the 3rd party consultant to the SPOTT website. Create and/or assist with other assessment-related files (indicator framework and dynamic summary page) before their upload to the website. Upload media stories to the website and make ad-hoc updates to company profiles.</w:t>
            </w:r>
          </w:p>
          <w:p>
            <w:pPr>
              <w:pStyle w:val="[Normal]"/>
              <w:numPr>
                <w:ilvl w:val="0"/>
                <w:numId w:val="1"/>
              </w:numPr>
              <w:tabs>
                <w:tab w:val="left" w:pos="463"/>
                <w:tab w:val="clear" w:pos="15876"/>
              </w:tabs>
              <w:ind w:left="463" w:hanging="357"/>
              <w:jc w:val="both"/>
              <w:rPr>
                <w:rFonts w:ascii="Calibri" w:hAnsi="Calibri" w:eastAsia="Calibri" w:cs="Calibri"/>
                <w:sz w:val="22"/>
                <w:szCs w:val="22"/>
                <w:lang w:val="en-GB" w:eastAsia="en-GB" w:bidi="en-GB"/>
              </w:rPr>
            </w:pPr>
            <w:r>
              <w:rPr>
                <w:rFonts w:ascii="Calibri" w:hAnsi="Calibri" w:eastAsia="Calibri" w:cs="Calibri"/>
                <w:b/>
                <w:bCs/>
                <w:sz w:val="22"/>
                <w:szCs w:val="22"/>
                <w:lang w:val="en-GB" w:eastAsia="en-GB" w:bidi="en-GB"/>
              </w:rPr>
              <w:t xml:space="preserve">Other project research and support, </w:t>
            </w:r>
            <w:r>
              <w:rPr>
                <w:rFonts w:ascii="Calibri" w:hAnsi="Calibri" w:eastAsia="Calibri" w:cs="Calibri"/>
                <w:sz w:val="22"/>
                <w:szCs w:val="22"/>
                <w:lang w:val="en-GB" w:eastAsia="en-GB" w:bidi="en-GB"/>
              </w:rPr>
              <w:t xml:space="preserve">including but not limited to;</w:t>
            </w:r>
          </w:p>
          <w:p>
            <w:pPr>
              <w:pStyle w:val="[Normal]"/>
              <w:numPr>
                <w:ilvl w:val="1"/>
                <w:numId w:val="1"/>
              </w:numPr>
              <w:tabs>
                <w:tab w:val="clear" w:pos="1134"/>
                <w:tab w:val="left" w:pos="1440"/>
              </w:tabs>
              <w:ind w:left="1440" w:hanging="360"/>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Collecting media reports for the SPOTT Media Monitor.</w:t>
            </w:r>
          </w:p>
          <w:p>
            <w:pPr>
              <w:pStyle w:val="[Normal]"/>
              <w:numPr>
                <w:ilvl w:val="1"/>
                <w:numId w:val="1"/>
              </w:numPr>
              <w:tabs>
                <w:tab w:val="clear" w:pos="1134"/>
                <w:tab w:val="left" w:pos="1440"/>
              </w:tabs>
              <w:ind w:left="1440" w:hanging="360"/>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Analysing trends in SPOTT assessment results.</w:t>
            </w:r>
          </w:p>
          <w:p>
            <w:pPr>
              <w:pStyle w:val="[Normal]"/>
              <w:numPr>
                <w:ilvl w:val="1"/>
                <w:numId w:val="1"/>
              </w:numPr>
              <w:tabs>
                <w:tab w:val="clear" w:pos="1134"/>
                <w:tab w:val="left" w:pos="1440"/>
              </w:tabs>
              <w:ind w:left="1440" w:hanging="360"/>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Explore the use of Artificial Intelligence in SPOTT.</w:t>
            </w:r>
          </w:p>
          <w:p>
            <w:pPr>
              <w:pStyle w:val="[Normal]"/>
              <w:tabs>
                <w:tab w:val="left" w:pos="1440"/>
                <w:tab w:val="clear" w:pos="15876"/>
              </w:tabs>
              <w:ind w:left="1440"/>
              <w:jc w:val="both"/>
              <w:rPr>
                <w:rFonts w:ascii="Calibri" w:hAnsi="Calibri" w:eastAsia="Calibri" w:cs="Calibri"/>
                <w:sz w:val="22"/>
                <w:szCs w:val="22"/>
                <w:lang w:val="en-GB" w:eastAsia="en-GB" w:bidi="en-GB"/>
              </w:rPr>
            </w:pPr>
          </w:p>
          <w:p>
            <w:pPr>
              <w:pStyle w:val="[Normal]"/>
              <w:jc w:val="both"/>
              <w:rPr>
                <w:rFonts w:ascii="Calibri" w:hAnsi="Calibri" w:eastAsia="Calibri" w:cs="Calibri"/>
                <w:sz w:val="22"/>
                <w:szCs w:val="22"/>
                <w:lang w:val="en-GB" w:eastAsia="en-GB" w:bidi="en-GB"/>
              </w:rPr>
            </w:pPr>
            <w:r>
              <w:rPr>
                <w:rFonts w:ascii="Calibri" w:hAnsi="Calibri" w:eastAsia="Calibri" w:cs="Calibri"/>
                <w:b/>
                <w:bCs/>
                <w:sz w:val="22"/>
                <w:szCs w:val="22"/>
                <w:lang w:val="en-GB" w:eastAsia="en-GB" w:bidi="en-GB"/>
              </w:rPr>
              <w:t xml:space="preserve">Engagement &amp; Outreach</w:t>
            </w:r>
          </w:p>
          <w:p>
            <w:pPr>
              <w:pStyle w:val="[Normal]"/>
              <w:jc w:val="both"/>
              <w:rPr>
                <w:rFonts w:ascii="Calibri" w:hAnsi="Calibri" w:eastAsia="Calibri" w:cs="Calibri"/>
                <w:sz w:val="22"/>
                <w:szCs w:val="22"/>
                <w:lang w:val="en-GB" w:eastAsia="en-GB" w:bidi="en-GB"/>
              </w:rPr>
            </w:pPr>
          </w:p>
        </w:tc>
      </w:tr>
      <w:tr>
        <w:trPr>
          <w:trHeight w:val="516" w:hRule="atLeast"/>
        </w:trPr>
        <w:tc>
          <w:tcPr>
            <w:tcW w:w="8931" w:type="dxa"/>
            <w:shd w:val="clear" w:color="auto" w:fill="auto"/>
            <w:vAlign w:val="bottom"/>
          </w:tcPr>
          <w:p>
            <w:pPr>
              <w:pStyle w:val="[Normal]"/>
              <w:numPr>
                <w:ilvl w:val="0"/>
                <w:numId w:val="1"/>
              </w:numPr>
              <w:tabs>
                <w:tab w:val="left" w:pos="463"/>
                <w:tab w:val="clear" w:pos="15876"/>
              </w:tabs>
              <w:ind w:left="463" w:hanging="357"/>
              <w:jc w:val="both"/>
              <w:rPr>
                <w:rFonts w:ascii="Calibri" w:hAnsi="Calibri" w:eastAsia="Calibri" w:cs="Calibri"/>
                <w:sz w:val="22"/>
                <w:szCs w:val="22"/>
                <w:lang w:val="en-GB" w:eastAsia="en-GB" w:bidi="en-GB"/>
              </w:rPr>
            </w:pPr>
            <w:r>
              <w:rPr>
                <w:rFonts w:ascii="Calibri" w:hAnsi="Calibri" w:eastAsia="Calibri" w:cs="Calibri"/>
                <w:b/>
                <w:bCs/>
                <w:sz w:val="22"/>
                <w:szCs w:val="22"/>
                <w:lang w:val="en-GB" w:eastAsia="en-GB" w:bidi="en-GB"/>
              </w:rPr>
              <w:t xml:space="preserve">Company consultation:</w:t>
            </w:r>
            <w:r>
              <w:rPr>
                <w:rFonts w:ascii="Calibri" w:hAnsi="Calibri" w:eastAsia="Calibri" w:cs="Calibri"/>
                <w:sz w:val="22"/>
                <w:szCs w:val="22"/>
                <w:lang w:val="en-GB" w:eastAsia="en-GB" w:bidi="en-GB"/>
              </w:rPr>
              <w:t xml:space="preserve"> Coordinate consultation periods with companies ahead of SPOTT assessment periods to sensitise and obtain feedback on changes to SPOTT indicator frameworks.</w:t>
            </w:r>
          </w:p>
          <w:p>
            <w:pPr>
              <w:pStyle w:val="[Normal]"/>
              <w:numPr>
                <w:ilvl w:val="0"/>
                <w:numId w:val="1"/>
              </w:numPr>
              <w:tabs>
                <w:tab w:val="left" w:pos="463"/>
                <w:tab w:val="clear" w:pos="15876"/>
              </w:tabs>
              <w:ind w:left="463" w:hanging="357"/>
              <w:jc w:val="both"/>
              <w:rPr>
                <w:rFonts w:ascii="Calibri" w:hAnsi="Calibri" w:eastAsia="Calibri" w:cs="Calibri"/>
                <w:sz w:val="22"/>
                <w:szCs w:val="22"/>
                <w:lang w:val="en-GB" w:eastAsia="en-GB" w:bidi="en-GB"/>
              </w:rPr>
            </w:pPr>
            <w:r>
              <w:rPr>
                <w:rFonts w:ascii="Calibri" w:hAnsi="Calibri" w:eastAsia="Calibri" w:cs="Calibri"/>
                <w:b/>
                <w:bCs/>
                <w:sz w:val="22"/>
                <w:szCs w:val="22"/>
                <w:lang w:val="en-GB" w:eastAsia="en-GB" w:bidi="en-GB"/>
              </w:rPr>
              <w:t xml:space="preserve">Company feedback:</w:t>
            </w:r>
            <w:r>
              <w:rPr>
                <w:rFonts w:ascii="Calibri" w:hAnsi="Calibri" w:eastAsia="Calibri" w:cs="Calibri"/>
                <w:sz w:val="22"/>
                <w:szCs w:val="22"/>
                <w:lang w:val="en-GB" w:eastAsia="en-GB" w:bidi="en-GB"/>
              </w:rPr>
              <w:t xml:space="preserve"> Liaise with companies regarding indicator requirements, discuss assessments, provide feedback and identify areas for improvement in corporate policies.</w:t>
            </w:r>
          </w:p>
          <w:p>
            <w:pPr>
              <w:pStyle w:val="[Normal]"/>
              <w:numPr>
                <w:ilvl w:val="0"/>
                <w:numId w:val="1"/>
              </w:numPr>
              <w:tabs>
                <w:tab w:val="left" w:pos="463"/>
                <w:tab w:val="clear" w:pos="15876"/>
              </w:tabs>
              <w:ind w:left="463" w:hanging="357"/>
              <w:jc w:val="both"/>
              <w:rPr>
                <w:rFonts w:ascii="Calibri" w:hAnsi="Calibri" w:eastAsia="Calibri" w:cs="Calibri"/>
                <w:sz w:val="22"/>
                <w:szCs w:val="22"/>
                <w:lang w:val="en-GB" w:eastAsia="en-GB" w:bidi="en-GB"/>
              </w:rPr>
            </w:pPr>
            <w:r>
              <w:rPr>
                <w:rFonts w:ascii="Calibri" w:hAnsi="Calibri" w:eastAsia="Calibri" w:cs="Calibri"/>
                <w:b/>
                <w:bCs/>
                <w:sz w:val="22"/>
                <w:szCs w:val="22"/>
                <w:lang w:val="en-GB" w:eastAsia="en-GB" w:bidi="en-GB"/>
              </w:rPr>
              <w:t xml:space="preserve">Presentations to target audiences:</w:t>
            </w:r>
            <w:r>
              <w:rPr>
                <w:rFonts w:ascii="Calibri" w:hAnsi="Calibri" w:eastAsia="Calibri" w:cs="Calibri"/>
                <w:sz w:val="22"/>
                <w:szCs w:val="22"/>
                <w:lang w:val="en-GB" w:eastAsia="en-GB" w:bidi="en-GB"/>
              </w:rPr>
              <w:t xml:space="preserve"> Support colleagues within the team as the project analyst, providing technical summaries and overviews of SPOTT assessments and key findings. </w:t>
            </w:r>
          </w:p>
          <w:p>
            <w:pPr>
              <w:pStyle w:val="[Normal]"/>
              <w:tabs>
                <w:tab w:val="left" w:pos="463"/>
                <w:tab w:val="clear" w:pos="15876"/>
              </w:tabs>
              <w:ind w:left="463"/>
              <w:jc w:val="both"/>
              <w:rPr>
                <w:rFonts w:ascii="Calibri" w:hAnsi="Calibri" w:eastAsia="Calibri" w:cs="Calibri"/>
                <w:sz w:val="22"/>
                <w:szCs w:val="22"/>
                <w:lang w:val="en-GB" w:eastAsia="en-GB" w:bidi="en-GB"/>
              </w:rPr>
            </w:pPr>
          </w:p>
          <w:p>
            <w:pPr>
              <w:pStyle w:val="[Normal]"/>
              <w:jc w:val="both"/>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Internal Reporting &amp; Support</w:t>
            </w:r>
          </w:p>
          <w:p>
            <w:pPr>
              <w:pStyle w:val="[Normal]"/>
              <w:jc w:val="both"/>
              <w:rPr>
                <w:sz w:val="24"/>
                <w:szCs w:val="24"/>
                <w:lang w:val="en-GB" w:eastAsia="en-GB" w:bidi="en-GB"/>
              </w:rPr>
            </w:pPr>
          </w:p>
        </w:tc>
      </w:tr>
      <w:tr>
        <w:trPr>
          <w:trHeight w:val="718" w:hRule="atLeast"/>
        </w:trPr>
        <w:tc>
          <w:tcPr>
            <w:tcW w:w="8931" w:type="dxa"/>
            <w:shd w:val="clear" w:color="auto" w:fill="auto"/>
            <w:vAlign w:val="center"/>
          </w:tcPr>
          <w:p>
            <w:pPr>
              <w:pStyle w:val="[Normal]"/>
              <w:numPr>
                <w:ilvl w:val="0"/>
                <w:numId w:val="2"/>
              </w:numPr>
              <w:tabs>
                <w:tab w:val="left" w:pos="502"/>
                <w:tab w:val="clear" w:pos="15876"/>
              </w:tabs>
              <w:ind w:left="502" w:hanging="360"/>
              <w:jc w:val="both"/>
              <w:rPr>
                <w:rFonts w:ascii="Calibri" w:hAnsi="Calibri" w:eastAsia="Calibri" w:cs="Calibri"/>
                <w:sz w:val="22"/>
                <w:szCs w:val="22"/>
                <w:lang w:val="en-GB" w:eastAsia="en-GB" w:bidi="en-GB"/>
              </w:rPr>
            </w:pPr>
            <w:r>
              <w:rPr>
                <w:rFonts w:ascii="Calibri" w:hAnsi="Calibri" w:eastAsia="Calibri" w:cs="Calibri"/>
                <w:b/>
                <w:bCs/>
                <w:sz w:val="22"/>
                <w:szCs w:val="22"/>
                <w:lang w:val="en-GB" w:eastAsia="en-GB" w:bidi="en-GB"/>
              </w:rPr>
              <w:t xml:space="preserve">Monitoring &amp; Evaluation:</w:t>
            </w:r>
            <w:r>
              <w:rPr>
                <w:rFonts w:ascii="Calibri" w:hAnsi="Calibri" w:eastAsia="Calibri" w:cs="Calibri"/>
                <w:sz w:val="22"/>
                <w:szCs w:val="22"/>
                <w:lang w:val="en-GB" w:eastAsia="en-GB" w:bidi="en-GB"/>
              </w:rPr>
              <w:t xml:space="preserve"> Maintaining statistics on assessments and company feedback/consultation as part of wider donor reporting and project evaluation.</w:t>
            </w:r>
          </w:p>
          <w:p>
            <w:pPr>
              <w:pStyle w:val="[Normal]"/>
              <w:tabs>
                <w:tab w:val="left" w:pos="360"/>
                <w:tab w:val="clear" w:pos="15876"/>
              </w:tabs>
              <w:ind w:left="360"/>
              <w:jc w:val="both"/>
              <w:rPr>
                <w:rFonts w:ascii="Calibri" w:hAnsi="Calibri" w:eastAsia="Calibri" w:cs="Calibri"/>
                <w:sz w:val="22"/>
                <w:szCs w:val="22"/>
                <w:lang w:val="en-GB" w:eastAsia="en-GB" w:bidi="en-GB"/>
              </w:rPr>
            </w:pPr>
          </w:p>
          <w:p>
            <w:pPr>
              <w:pStyle w:val="[Normal]"/>
              <w:rPr>
                <w:rFonts w:ascii="Calibri" w:hAnsi="Calibri" w:eastAsia="Calibri" w:cs="Calibri"/>
                <w:b/>
                <w:bCs/>
                <w:sz w:val="22"/>
                <w:szCs w:val="22"/>
                <w:lang w:val="en-GB" w:eastAsia="en-GB" w:bidi="en-GB"/>
              </w:rPr>
            </w:pPr>
            <w:r>
              <w:rPr>
                <w:rFonts w:ascii="Calibri" w:hAnsi="Calibri" w:eastAsia="Calibri" w:cs="Calibri"/>
                <w:b/>
                <w:bCs/>
                <w:sz w:val="22"/>
                <w:szCs w:val="22"/>
                <w:lang w:val="en-GB" w:eastAsia="en-GB" w:bidi="en-GB"/>
              </w:rPr>
              <w:t xml:space="preserve">Communications &amp; Press</w:t>
            </w:r>
          </w:p>
          <w:p>
            <w:pPr>
              <w:pStyle w:val="[Normal]"/>
              <w:rPr>
                <w:rFonts w:ascii="Calibri" w:hAnsi="Calibri" w:eastAsia="Calibri" w:cs="Calibri"/>
                <w:sz w:val="22"/>
                <w:szCs w:val="22"/>
                <w:lang w:val="en-GB" w:eastAsia="en-GB" w:bidi="en-GB"/>
              </w:rPr>
            </w:pPr>
          </w:p>
        </w:tc>
      </w:tr>
      <w:tr>
        <w:trPr>
          <w:trHeight w:val="238" w:hRule="atLeast"/>
        </w:trPr>
        <w:tc>
          <w:tcPr>
            <w:tcW w:w="8931" w:type="dxa"/>
            <w:shd w:val="clear" w:color="auto" w:fill="auto"/>
            <w:vAlign w:val="center"/>
          </w:tcPr>
          <w:p>
            <w:pPr>
              <w:pStyle w:val="[Normal]"/>
              <w:numPr>
                <w:ilvl w:val="0"/>
                <w:numId w:val="3"/>
              </w:numPr>
              <w:tabs>
                <w:tab w:val="left" w:pos="502"/>
                <w:tab w:val="left" w:pos="7920"/>
                <w:tab w:val="clear" w:pos="7938"/>
                <w:tab w:val="clear" w:pos="15876"/>
              </w:tabs>
              <w:ind w:left="502" w:hanging="360"/>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Providing support on communications tasks, including creating social media content for LinkedIn and updates to the SPOTT website.</w:t>
            </w:r>
          </w:p>
          <w:p>
            <w:pPr>
              <w:pStyle w:val="[Normal]"/>
              <w:numPr>
                <w:ilvl w:val="0"/>
                <w:numId w:val="3"/>
              </w:numPr>
              <w:tabs>
                <w:tab w:val="left" w:pos="502"/>
                <w:tab w:val="clear" w:pos="15876"/>
              </w:tabs>
              <w:ind w:left="502" w:hanging="360"/>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Participate in press interviews, give presentations and contribute towards publications.</w:t>
            </w:r>
          </w:p>
          <w:p>
            <w:pPr>
              <w:pStyle w:val="[Normal]"/>
              <w:numPr>
                <w:ilvl w:val="0"/>
                <w:numId w:val="3"/>
              </w:numPr>
              <w:tabs>
                <w:tab w:val="left" w:pos="502"/>
                <w:tab w:val="clear" w:pos="15876"/>
              </w:tabs>
              <w:ind w:left="502" w:hanging="360"/>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Represent ZSL at key business sector events and relevant industry initiatives.</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The duties and responsibilities described are not a comprehensive list and additional tasks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may be assigned from time to time that are in line with the level of the role.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GB" w:eastAsia="en-GB" w:bidi="en-GB"/>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ZSL’s values and behaviours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006600"/>
          <w:lang w:val="en-GB" w:eastAsia="en-GB" w:bidi="en-GB"/>
        </w:rPr>
      </w:pP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b/>
          <w:bCs/>
          <w:lang w:val="en-GB" w:eastAsia="en-GB" w:bidi="en-GB"/>
        </w:rPr>
      </w:pPr>
      <w:r>
        <w:rPr>
          <w:b/>
          <w:bCs/>
          <w:lang w:val="en-GB" w:eastAsia="en-GB" w:bidi="en-GB"/>
        </w:rPr>
        <w:t xml:space="preserve">Collaborative: </w:t>
      </w:r>
      <w:r>
        <w:rPr>
          <w:lang w:val="en-GB" w:eastAsia="en-GB" w:bidi="en-GB"/>
        </w:rPr>
        <w:t xml:space="preserve">creates an engaging environment where people feel comfortable asking for help or support.</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b/>
          <w:bCs/>
          <w:lang w:val="en-GB" w:eastAsia="en-GB" w:bidi="en-GB"/>
        </w:rPr>
      </w:pPr>
      <w:r>
        <w:rPr>
          <w:b/>
          <w:bCs/>
          <w:lang w:val="en-GB" w:eastAsia="en-GB" w:bidi="en-GB"/>
        </w:rPr>
        <w:t xml:space="preserve">Ethical: </w:t>
      </w:r>
      <w:r>
        <w:rPr>
          <w:lang w:val="en-GB" w:eastAsia="en-GB" w:bidi="en-GB"/>
        </w:rPr>
        <w:t xml:space="preserve">creates a culture which ensures everyone is treated fairly with dignity and respect.</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b/>
          <w:bCs/>
          <w:lang w:val="en-GB" w:eastAsia="en-GB" w:bidi="en-GB"/>
        </w:rPr>
      </w:pPr>
      <w:r>
        <w:rPr>
          <w:b/>
          <w:bCs/>
          <w:lang w:val="en-GB" w:eastAsia="en-GB" w:bidi="en-GB"/>
        </w:rPr>
        <w:t xml:space="preserve">Impactful: </w:t>
      </w:r>
      <w:r>
        <w:rPr>
          <w:lang w:val="en-GB" w:eastAsia="en-GB" w:bidi="en-GB"/>
        </w:rPr>
        <w:t xml:space="preserve">delivers results on time and to the agreed standards.</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b/>
          <w:bCs/>
          <w:lang w:val="en-GB" w:eastAsia="en-GB" w:bidi="en-GB"/>
        </w:rPr>
      </w:pPr>
      <w:r>
        <w:rPr>
          <w:b/>
          <w:bCs/>
          <w:lang w:val="en-GB" w:eastAsia="en-GB" w:bidi="en-GB"/>
        </w:rPr>
        <w:t xml:space="preserve">Inclusive:</w:t>
      </w:r>
      <w:r>
        <w:rPr>
          <w:lang w:val="en-GB" w:eastAsia="en-GB" w:bidi="en-GB"/>
        </w:rPr>
        <w:t xml:space="preserve"> makes decisions that promote transparency and inclusion.</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b/>
          <w:bCs/>
          <w:lang w:val="en-GB" w:eastAsia="en-GB" w:bidi="en-GB"/>
        </w:rPr>
      </w:pPr>
      <w:r>
        <w:rPr>
          <w:b/>
          <w:bCs/>
          <w:lang w:val="en-GB" w:eastAsia="en-GB" w:bidi="en-GB"/>
        </w:rPr>
        <w:t xml:space="preserve">Innovative: </w:t>
      </w:r>
      <w:r>
        <w:rPr>
          <w:lang w:val="en-GB" w:eastAsia="en-GB" w:bidi="en-GB"/>
        </w:rPr>
        <w:t xml:space="preserve">is forward thinking and able to see the broader picture when planning and organising work.</w:t>
      </w:r>
    </w:p>
    <w:p>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60"/>
        <w:jc w:val="both"/>
        <w:rPr>
          <w:b/>
          <w:bCs/>
          <w:lang w:val="en-GB" w:eastAsia="en-GB" w:bidi="en-GB"/>
        </w:rPr>
      </w:pPr>
      <w:r>
        <w:rPr>
          <w:b/>
          <w:bCs/>
          <w:lang w:val="en-GB" w:eastAsia="en-GB" w:bidi="en-GB"/>
        </w:rPr>
        <w:t xml:space="preserve">Inspiring: </w:t>
      </w:r>
      <w:r>
        <w:rPr>
          <w:lang w:val="en-GB" w:eastAsia="en-GB" w:bidi="en-GB"/>
        </w:rPr>
        <w:t xml:space="preserve">has self-awareness and seeks feedback to better understand own style, approach and impact on team/staff motivation.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006600"/>
          <w:sz w:val="32"/>
          <w:szCs w:val="32"/>
          <w:lang w:val="en-GB" w:eastAsia="en-GB" w:bidi="en-GB"/>
        </w:rPr>
      </w:pPr>
      <w:r>
        <w:rPr>
          <w:rFonts w:ascii="Calibri" w:hAnsi="Calibri" w:eastAsia="Calibri" w:cs="Calibri"/>
          <w:b/>
          <w:bCs/>
          <w:color w:val="006600"/>
          <w:sz w:val="32"/>
          <w:szCs w:val="32"/>
          <w:lang w:val="en-GB" w:eastAsia="en-GB" w:bidi="en-GB"/>
        </w:rPr>
        <w:t xml:space="preserve">Person Specification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b/>
          <w:bCs/>
          <w:color w:val="366091"/>
          <w:sz w:val="32"/>
          <w:szCs w:val="32"/>
          <w:lang w:val="en-GB" w:eastAsia="en-GB" w:bidi="en-GB"/>
        </w:rPr>
      </w:pPr>
    </w:p>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Skills </w:t>
            </w:r>
          </w:p>
        </w:tc>
      </w:tr>
    </w:tbl>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Default"/>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1"/>
              <w:ind w:left="36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Attention to detail.</w:t>
            </w:r>
          </w:p>
          <w:p>
            <w:pPr>
              <w:pStyle w:val="Default"/>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1"/>
              <w:ind w:left="36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Strong organisational, interpersonal and communication skills.</w:t>
            </w:r>
          </w:p>
          <w:p>
            <w:pPr>
              <w:pStyle w:val="Default"/>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1"/>
              <w:ind w:left="36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Excellent research and data management skills.</w:t>
            </w:r>
          </w:p>
          <w:p>
            <w:pPr>
              <w:pStyle w:val="Default"/>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1"/>
              <w:ind w:left="36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Excellent written and spoken English.</w:t>
            </w:r>
          </w:p>
          <w:p>
            <w:pPr>
              <w:pStyle w:val="Default"/>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1"/>
              <w:ind w:left="36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Well-developed skills in using MS office packages, specifically Word, Excel and PowerPoint as well as Microsoft Teams and Sharepoint.</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Desirable </w:t>
            </w:r>
          </w:p>
        </w:tc>
        <w:tc>
          <w:tcPr>
            <w:tcW w:w="7746" w:type="dxa"/>
            <w:tcBorders>
              <w:bottom w:val="single" w:sz="4" w:space="0" w:color="auto"/>
            </w:tcBorders>
            <w:shd w:val="clear" w:color="auto" w:fill="auto"/>
            <w:vAlign w:val="top"/>
          </w:tcPr>
          <w:p>
            <w:pPr>
              <w:pStyle w:val="[Normal]"/>
              <w:numPr>
                <w:ilvl w:val="0"/>
                <w:numId w:val="6"/>
              </w:numPr>
              <w:tabs>
                <w:tab w:val="left" w:pos="360"/>
                <w:tab w:val="clear" w:pos="15876"/>
              </w:tabs>
              <w:ind w:left="36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Working proficiency in relevant languages (Indonesian, Malay, Spanish, Portuguese, French or Mandarin).</w:t>
            </w:r>
          </w:p>
          <w:p>
            <w:pPr>
              <w:pStyle w:val="[Normal]"/>
              <w:numPr>
                <w:ilvl w:val="0"/>
                <w:numId w:val="6"/>
              </w:numPr>
              <w:tabs>
                <w:tab w:val="left" w:pos="360"/>
                <w:tab w:val="clear" w:pos="15876"/>
              </w:tabs>
              <w:ind w:left="36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Familiarity with using databases such as Probench.</w:t>
            </w:r>
          </w:p>
          <w:p>
            <w:pPr>
              <w:pStyle w:val="[Normal]"/>
              <w:tabs>
                <w:tab w:val="left" w:pos="360"/>
                <w:tab w:val="clear" w:pos="15876"/>
              </w:tabs>
              <w:ind w:left="360"/>
              <w:rPr>
                <w:rFonts w:ascii="Calibri" w:hAnsi="Calibri" w:eastAsia="Calibri" w:cs="Calibri"/>
                <w:sz w:val="22"/>
                <w:szCs w:val="22"/>
                <w:lang w:val="en-GB" w:eastAsia="en-GB" w:bidi="en-GB"/>
              </w:rPr>
            </w:pP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Knowledge and Experience</w:t>
            </w:r>
          </w:p>
        </w:tc>
      </w:tr>
    </w:tbl>
    <w:tbl>
      <w:tblPr>
        <w:tblW w:w="0" w:type="auto"/>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Default"/>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1"/>
              <w:ind w:left="36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An understanding of sustainability issues in the palm oil and natural rubber sectors.</w:t>
            </w:r>
          </w:p>
          <w:p>
            <w:pPr>
              <w:pStyle w:val="Default"/>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1"/>
              <w:ind w:left="36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Understanding of CSR and corporate sustainability reporting best practice. </w:t>
            </w:r>
          </w:p>
        </w:tc>
      </w:tr>
      <w:tr>
        <w:tc>
          <w:tcPr>
            <w:tcW w:w="1271" w:type="dxa"/>
            <w:tcBorders>
              <w:bottom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Desirable</w:t>
            </w:r>
          </w:p>
        </w:tc>
        <w:tc>
          <w:tcPr>
            <w:tcW w:w="7746" w:type="dxa"/>
            <w:tcBorders>
              <w:bottom w:val="single" w:sz="4" w:space="0" w:color="auto"/>
            </w:tcBorders>
            <w:shd w:val="clear" w:color="auto" w:fill="auto"/>
            <w:vAlign w:val="top"/>
          </w:tcPr>
          <w:p>
            <w:pPr>
              <w:pStyle w:val="Default"/>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1"/>
              <w:ind w:left="36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Potential use of AI in ESG assessments. </w:t>
            </w:r>
          </w:p>
          <w:p>
            <w:pPr>
              <w:pStyle w:val="Default"/>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41"/>
              <w:ind w:left="36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Knowledge of sustainability certification and auditing practices under RSPO, GPSNR and other relevant initiatives.   </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none"/>
        </w:tblBorders>
        <w:tblLayout w:type="fixed"/>
        <w:tblCellMar>
          <w:top w:w="0" w:type="dxa"/>
          <w:left w:w="108" w:type="dxa"/>
          <w:bottom w:w="0" w:type="dxa"/>
          <w:right w:w="108" w:type="dxa"/>
        </w:tblCellMar>
      </w:tblPr>
      <w:tblGrid>
        <w:gridCol w:w="9017"/>
      </w:tblGrid>
      <w:tr>
        <w:tc>
          <w:tcPr>
            <w:tcW w:w="9017" w:type="dxa"/>
            <w:tcBorders>
              <w:top w:val="single" w:sz="4" w:space="0" w:color="auto"/>
              <w:bottom w:val="single" w:sz="4" w:space="0" w:color="auto"/>
            </w:tcBorders>
            <w:shd w:val="clear" w:color="auto" w:fill="006600"/>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color w:val="FFFFFF"/>
                <w:sz w:val="22"/>
                <w:szCs w:val="22"/>
                <w:lang w:val="en-GB" w:eastAsia="en-GB" w:bidi="en-GB"/>
              </w:rPr>
            </w:pPr>
            <w:r>
              <w:rPr>
                <w:rFonts w:ascii="Calibri" w:hAnsi="Calibri" w:eastAsia="Calibri" w:cs="Calibri"/>
                <w:color w:val="FFFFFF"/>
                <w:sz w:val="22"/>
                <w:szCs w:val="22"/>
                <w:lang w:val="en-GB" w:eastAsia="en-GB" w:bidi="en-GB"/>
              </w:rPr>
              <w:t xml:space="preserve">Additional requirements</w:t>
            </w:r>
          </w:p>
        </w:tc>
      </w:tr>
    </w:tbl>
    <w:tbl>
      <w:tblPr>
        <w:tblW w:w="0" w:type="auto"/>
        <w:jc w:val="left"/>
        <w:tblInd w:w="0" w:type="dxa"/>
        <w:tblBorders>
          <w:top w:val="single" w:sz="4" w:space="0" w:color="auto"/>
          <w:left w:val="single" w:sz="4" w:space="0" w:color="auto"/>
          <w:bottom w:val="single" w:sz="4" w:space="0" w:color="auto"/>
          <w:right w:val="single" w:sz="4" w:space="0" w:color="auto"/>
          <w:insideH w:val="none"/>
          <w:insideV w:val="single" w:sz="4" w:space="0" w:color="auto"/>
        </w:tblBorders>
        <w:tblLayout w:type="fixed"/>
        <w:tblCellMar>
          <w:top w:w="0" w:type="dxa"/>
          <w:left w:w="108" w:type="dxa"/>
          <w:bottom w:w="0" w:type="dxa"/>
          <w:right w:w="108" w:type="dxa"/>
        </w:tblCellMar>
      </w:tblPr>
      <w:tblGrid>
        <w:gridCol w:w="1271"/>
        <w:gridCol w:w="7746"/>
      </w:tblGrid>
      <w:tr>
        <w:tc>
          <w:tcPr>
            <w:tcW w:w="1271" w:type="dxa"/>
            <w:tcBorders>
              <w:top w:val="single" w:sz="4" w:space="0" w:color="auto"/>
            </w:tcBorders>
            <w:shd w:val="clear" w:color="auto" w:fill="auto"/>
            <w:vAlign w:val="top"/>
          </w:tcPr>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Essential</w:t>
            </w:r>
          </w:p>
        </w:tc>
        <w:tc>
          <w:tcPr>
            <w:tcW w:w="7746" w:type="dxa"/>
            <w:tcBorders>
              <w:top w:val="single" w:sz="4" w:space="0" w:color="auto"/>
            </w:tcBorders>
            <w:shd w:val="clear" w:color="auto" w:fill="auto"/>
            <w:vAlign w:val="top"/>
          </w:tcPr>
          <w:p>
            <w:pPr>
              <w:pStyle w:val="[Normal]"/>
              <w:numPr>
                <w:ilvl w:val="0"/>
                <w:numId w:val="6"/>
              </w:numPr>
              <w:tabs>
                <w:tab w:val="left" w:pos="360"/>
                <w:tab w:val="clear" w:pos="15876"/>
              </w:tabs>
              <w:ind w:left="36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This post is a blended role for office and home working - regular travel to ZSL Regent’s Park site is required.</w:t>
            </w:r>
          </w:p>
          <w:p>
            <w:pPr>
              <w:pStyle w:val="[Normal]"/>
              <w:numPr>
                <w:ilvl w:val="0"/>
                <w:numId w:val="6"/>
              </w:numPr>
              <w:tabs>
                <w:tab w:val="left" w:pos="360"/>
                <w:tab w:val="clear" w:pos="15876"/>
              </w:tabs>
              <w:ind w:left="36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This post requires very occasional work during evenings and/or and weekends.</w:t>
            </w:r>
          </w:p>
          <w:p>
            <w:pPr>
              <w:pStyle w:val="[Normal]"/>
              <w:numPr>
                <w:ilvl w:val="0"/>
                <w:numId w:val="6"/>
              </w:numPr>
              <w:tabs>
                <w:tab w:val="left" w:pos="360"/>
                <w:tab w:val="clear" w:pos="15876"/>
              </w:tabs>
              <w:ind w:left="36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This position will be office/remote based but international travel may be required.</w:t>
            </w:r>
          </w:p>
          <w:p>
            <w:pPr>
              <w:pStyle w:val="[Normal]"/>
              <w:numPr>
                <w:ilvl w:val="0"/>
                <w:numId w:val="6"/>
              </w:numPr>
              <w:tabs>
                <w:tab w:val="left" w:pos="360"/>
                <w:tab w:val="clear" w:pos="15876"/>
              </w:tabs>
              <w:ind w:left="36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Strong commitment to creating a culture that lives ZSL values and commitment to safeguarding, equality and diversity (collaborative, inspiring, inclusive, innovative, impactful and ethical).</w:t>
            </w:r>
          </w:p>
          <w:p>
            <w:pPr>
              <w:pStyle w:val="[Normal]"/>
              <w:numPr>
                <w:ilvl w:val="0"/>
                <w:numId w:val="6"/>
              </w:numPr>
              <w:tabs>
                <w:tab w:val="left" w:pos="360"/>
                <w:tab w:val="clear" w:pos="15876"/>
              </w:tabs>
              <w:ind w:left="360" w:hanging="360"/>
              <w:rPr>
                <w:rFonts w:ascii="Calibri" w:hAnsi="Calibri" w:eastAsia="Calibri" w:cs="Calibri"/>
                <w:sz w:val="22"/>
                <w:szCs w:val="22"/>
                <w:lang w:val="en-GB" w:eastAsia="en-GB" w:bidi="en-GB"/>
              </w:rPr>
            </w:pPr>
            <w:r>
              <w:rPr>
                <w:rFonts w:ascii="Calibri" w:hAnsi="Calibri" w:eastAsia="Calibri" w:cs="Calibri"/>
                <w:sz w:val="22"/>
                <w:szCs w:val="22"/>
                <w:lang w:val="en-GB" w:eastAsia="en-GB" w:bidi="en-GB"/>
              </w:rPr>
              <w:t xml:space="preserve">To comply with and promote Health and Safety policies and procedures.</w:t>
            </w:r>
          </w:p>
        </w:tc>
      </w:tr>
    </w:tbl>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eastAsia="Calibri" w:cs="Calibri"/>
          <w:sz w:val="22"/>
          <w:szCs w:val="22"/>
          <w:lang w:val="en-GB" w:eastAsia="en-GB" w:bidi="en-GB"/>
        </w:rPr>
      </w:pPr>
    </w:p>
    <w:sectPr>
      <w:headerReference w:type="default" r:id="rId00007"/>
      <w:footerReference w:type="default" r:id="rId00008"/>
      <w:headerReference w:type="first" r:id="rId00009"/>
      <w:footerReference w:type="first" r:id="rId00010"/>
      <w:type w:val="continuous"/>
      <w:pgSz w:w="11907" w:h="16840"/>
      <w:pgMar w:top="1440" w:right="1440" w:bottom="1440" w:left="1440" w:header="1134" w:footer="851"/>
      <w:titlePg/>
      <w15:footnoteColumns w:val="1"/>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Tahoma">
    <w:panose1 w:val="020B0604030504040204"/>
    <w:charset w:val="00"/>
    <w:family w:val="swiss"/>
    <w:pitch w:val="variable"/>
    <w:sig w:usb0="E1002EFF" w:usb1="C000605B" w:usb2="00000029" w:usb3="00000000" w:csb0="200101FF" w:csb1="20280000"/>
  </w:font>
</w:fonts>
</file>

<file path=word/footer000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026"/>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026"/>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026"/>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026"/>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footer0001_first.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026"/>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026"/>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026"/>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Footer"/>
      <w:tabs>
        <w:tab w:val="left" w:pos="9026"/>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ftr>
</file>

<file path=word/header000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tbl>
    <w:tblPr>
      <w:tblW w:w="0" w:type="auto"/>
      <w:jc w:val="left"/>
      <w:tblInd w:w="0" w:type="dxa"/>
      <w:tblBorders>
        <w:top w:val="none"/>
        <w:left w:val="none"/>
        <w:bottom w:val="none"/>
        <w:right w:val="none"/>
        <w:insideH w:val="none"/>
        <w:insideV w:val="none"/>
      </w:tblBorders>
      <w:tblLayout w:type="fixed"/>
      <w:tblCellMar>
        <w:top w:w="0" w:type="dxa"/>
        <w:left w:w="108" w:type="dxa"/>
        <w:bottom w:w="0" w:type="dxa"/>
        <w:right w:w="108" w:type="dxa"/>
      </w:tblCellMar>
    </w:tblPr>
    <w:tblGrid>
      <w:gridCol w:w="3005"/>
      <w:gridCol w:w="3005"/>
      <w:gridCol w:w="3005"/>
    </w:tblGrid>
    <w:tr>
      <w:trPr>
        <w:trHeight w:val="300" w:hRule="atLeast"/>
      </w:trPr>
      <w:tc>
        <w:tcPr>
          <w:tcW w:w="3005" w:type="dxa"/>
          <w:shd w:val="clear" w:color="auto" w:fill="auto"/>
          <w:vAlign w:val="top"/>
        </w:tcPr>
        <w:p>
          <w:pPr>
            <w:pStyle w:val="Header"/>
            <w:tabs>
              <w:tab w:val="left" w:pos="9026"/>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tc>
      <w:tc>
        <w:tcPr>
          <w:tcW w:w="3005" w:type="dxa"/>
          <w:shd w:val="clear" w:color="auto" w:fill="auto"/>
          <w:vAlign w:val="top"/>
        </w:tcPr>
        <w:p>
          <w:pPr>
            <w:pStyle w:val="Header"/>
            <w:tabs>
              <w:tab w:val="left" w:pos="9026"/>
              <w:tab w:val="left" w:pos="10800"/>
              <w:tab w:val="left" w:pos="11520"/>
              <w:tab w:val="left" w:pos="12240"/>
              <w:tab w:val="left" w:pos="12960"/>
              <w:tab w:val="left" w:pos="13680"/>
              <w:tab w:val="left" w:pos="14400"/>
              <w:tab w:val="left" w:pos="15120"/>
              <w:tab w:val="left" w:pos="15840"/>
              <w:tab w:val="left" w:pos="16560"/>
              <w:tab w:val="left" w:pos="17280"/>
            </w:tabs>
            <w:jc w:val="center"/>
            <w:rPr>
              <w:lang w:val="en-GB" w:eastAsia="en-GB" w:bidi="en-GB"/>
            </w:rPr>
          </w:pPr>
        </w:p>
      </w:tc>
      <w:tc>
        <w:tcPr>
          <w:tcW w:w="3005" w:type="dxa"/>
          <w:shd w:val="clear" w:color="auto" w:fill="auto"/>
          <w:vAlign w:val="top"/>
        </w:tcPr>
        <w:p>
          <w:pPr>
            <w:pStyle w:val="Header"/>
            <w:tabs>
              <w:tab w:val="left" w:pos="9026"/>
              <w:tab w:val="left" w:pos="10800"/>
              <w:tab w:val="left" w:pos="11520"/>
              <w:tab w:val="left" w:pos="12240"/>
              <w:tab w:val="left" w:pos="12960"/>
              <w:tab w:val="left" w:pos="13680"/>
              <w:tab w:val="left" w:pos="14400"/>
              <w:tab w:val="left" w:pos="15120"/>
              <w:tab w:val="left" w:pos="15840"/>
              <w:tab w:val="left" w:pos="16560"/>
              <w:tab w:val="left" w:pos="17280"/>
            </w:tabs>
            <w:jc w:val="right"/>
            <w:rPr>
              <w:lang w:val="en-GB" w:eastAsia="en-GB" w:bidi="en-GB"/>
            </w:rPr>
          </w:pPr>
        </w:p>
      </w:tc>
    </w:tr>
  </w:tbl>
  <w:p>
    <w:pPr>
      <w:pStyle w:val="Header"/>
      <w:tabs>
        <w:tab w:val="left" w:pos="9026"/>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p>
</w:hdr>
</file>

<file path=word/header0001_first.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mc="http://schemas.openxmlformats.org/markup-compatibility/2006" xmlns:w14="http://schemas.microsoft.com/office/word/2010/wordml" xmlns:wpc="http://schemas.microsoft.com/office/word/2010/wordprocessingCanvas" xmlns:wpg="http://schemas.microsoft.com/office/word/2010/wordprocessingGroup" xmlns:wps="http://schemas.microsoft.com/office/word/2010/wordprocessingShape" xmlns:w15="http://schemas.microsoft.com/office/word/2012/wordml" xmlns:w16du="http://schemas.microsoft.com/office/word/2023/wordml/word16du" xmlns:tx19="http://schemas.textcontrol.com/tx/1900" xmlns:tx23="http://schemas.textcontrol.com/tx/2300" xmlns:tx26="http://schemas.textcontrol.com/tx/2600" mc:Ignorable="w14 wpc wpg wps w15 w16du tx19 tx23 tx26">
  <w:p>
    <w:pPr>
      <w:pStyle w:val="Header"/>
      <w:tabs>
        <w:tab w:val="left" w:pos="9026"/>
        <w:tab w:val="left" w:pos="10800"/>
        <w:tab w:val="left" w:pos="11520"/>
        <w:tab w:val="left" w:pos="12240"/>
        <w:tab w:val="left" w:pos="12960"/>
        <w:tab w:val="left" w:pos="13680"/>
        <w:tab w:val="left" w:pos="14400"/>
        <w:tab w:val="left" w:pos="15120"/>
        <w:tab w:val="left" w:pos="15840"/>
        <w:tab w:val="left" w:pos="16560"/>
        <w:tab w:val="left" w:pos="17280"/>
      </w:tabs>
      <w:rPr>
        <w:lang w:val="en-GB" w:eastAsia="en-GB" w:bidi="en-GB"/>
      </w:rPr>
    </w:pPr>
    <w:r>
      <w:drawing>
        <wp:anchor distT="0" distB="0" distL="114300" distR="114300" simplePos="0" relativeHeight="251659264" behindDoc="0" locked="0" layoutInCell="1" hidden="0" allowOverlap="1">
          <wp:simplePos x="0" y="0"/>
          <wp:positionH relativeFrom="column">
            <wp:posOffset>-664845</wp:posOffset>
          </wp:positionH>
          <wp:positionV relativeFrom="paragraph">
            <wp:posOffset>0</wp:posOffset>
          </wp:positionV>
          <wp:extent cx="1308100" cy="653415"/>
          <wp:wrapSquare wrapText="bothSides"/>
          <wp:docPr id="1" name="Picture 2"/>
          <a:graphic xmlns:a="http://schemas.openxmlformats.org/drawingml/2006/main">
            <a:graphicData uri="http://schemas.openxmlformats.org/drawingml/2006/picture">
              <pic:pic xmlns:pic="http://schemas.openxmlformats.org/drawingml/2006/picture">
                <pic:nvPicPr>
                  <pic:cNvPr id="0" name="Image 1"/>
                  <pic:cNvPicPr/>
                </pic:nvPicPr>
                <pic:blipFill>
                  <a:blip r:embed="rId00006"/>
                  <a:stretch>
                    <a:fillRect/>
                  </a:stretch>
                </pic:blipFill>
                <pic:spPr>
                  <a:xfrm>
                    <a:off x="0" y="0"/>
                    <a:ext cx="1308100" cy="653415"/>
                  </a:xfrm>
                  <a:prstGeom prst="rect">
                    <a:avLst/>
                  </a:prstGeom>
                </pic:spPr>
              </pic:pic>
            </a:graphicData>
          </a:graphic>
        </wp:anchor>
      </w:drawing>
    </w:r>
  </w:p>
</w:hdr>
</file>

<file path=word/numbering.xml><?xml version="1.0" encoding="utf-8"?>
<w:numbering xmlns:w="http://schemas.openxmlformats.org/wordprocessingml/2006/main">
  <w:abstractNum w:abstractNumId="0">
    <w:multiLevelType w:val="multilevel"/>
    <w:lvl w:ilvl="0">
      <w:start w:val="1"/>
      <w:numFmt w:val="bullet"/>
      <w:suff w:val="tab"/>
      <w:lvlText w:val=""/>
      <w:pPr>
        <w:ind w:left="463" w:hanging="357"/>
        <w:tabs>
          <w:tab w:val="num" w:pos="463"/>
        </w:tabs>
      </w:pPr>
      <w:rPr>
        <w:rFonts w:hint="default" w:ascii="Symbol" w:hAnsi="Symbol" w:eastAsia="Symbol" w:cs="Symbol"/>
        <w:b w:val="on"/>
        <w:i w:val="off"/>
        <w:strike w:val="off"/>
        <w:color w:val="auto"/>
        <w:position w:val="0"/>
        <w:sz w:val="22"/>
        <w:u w:val="none"/>
        <w:shd w:val="clear" w:color="auto" w:fill="auto"/>
      </w:rPr>
    </w:lvl>
    <w:lvl w:ilvl="1">
      <w:start w:val="1"/>
      <w:numFmt w:val="bullet"/>
      <w:suff w:val="tab"/>
      <w:lvlText w:val="·"/>
      <w:pPr>
        <w:ind w:left="1440" w:hanging="360"/>
        <w:tabs>
          <w:tab w:val="num" w:pos="1440"/>
        </w:tabs>
      </w:pPr>
      <w:rPr>
        <w:rFonts w:hint="default" w:ascii="Calibri" w:hAnsi="Calibri" w:eastAsia="Calibri" w:cs="Calibri"/>
        <w:b w:val="off"/>
        <w:i w:val="off"/>
        <w:strike w:val="off"/>
        <w:color w:val="auto"/>
        <w:position w:val="0"/>
        <w:sz w:val="22"/>
        <w:u w:val="none"/>
        <w:shd w:val="clear" w:color="auto" w:fill="auto"/>
      </w:rPr>
    </w:lvl>
    <w:lvl w:ilvl="2">
      <w:start w:val="1"/>
      <w:numFmt w:val="bullet"/>
      <w:suff w:val="tab"/>
      <w:lvlText w:val=""/>
      <w:pPr>
        <w:ind w:left="1080" w:hanging="360"/>
        <w:tabs>
          <w:tab w:val="num" w:pos="1080"/>
        </w:tabs>
      </w:pPr>
    </w:lvl>
    <w:lvl w:ilvl="3">
      <w:start w:val="1"/>
      <w:numFmt w:val="bullet"/>
      <w:suff w:val="tab"/>
      <w:lvlText w:val=""/>
      <w:pPr>
        <w:ind w:left="1440" w:hanging="360"/>
        <w:tabs>
          <w:tab w:val="num" w:pos="1440"/>
        </w:tabs>
      </w:pPr>
    </w:lvl>
    <w:lvl w:ilvl="4">
      <w:start w:val="1"/>
      <w:numFmt w:val="bullet"/>
      <w:suff w:val="tab"/>
      <w:lvlText w:val=""/>
      <w:pPr>
        <w:ind w:left="1800" w:hanging="360"/>
        <w:tabs>
          <w:tab w:val="num" w:pos="1800"/>
        </w:tabs>
      </w:pPr>
    </w:lvl>
    <w:lvl w:ilvl="5">
      <w:start w:val="1"/>
      <w:numFmt w:val="bullet"/>
      <w:suff w:val="tab"/>
      <w:lvlText w:val=""/>
      <w:pPr>
        <w:ind w:left="2160" w:hanging="360"/>
        <w:tabs>
          <w:tab w:val="num" w:pos="2160"/>
        </w:tabs>
      </w:pPr>
    </w:lvl>
    <w:lvl w:ilvl="6">
      <w:start w:val="1"/>
      <w:numFmt w:val="bullet"/>
      <w:suff w:val="tab"/>
      <w:lvlText w:val=""/>
      <w:pPr>
        <w:ind w:left="2520" w:hanging="360"/>
        <w:tabs>
          <w:tab w:val="num" w:pos="2520"/>
        </w:tabs>
      </w:pPr>
    </w:lvl>
    <w:lvl w:ilvl="7">
      <w:start w:val="1"/>
      <w:numFmt w:val="bullet"/>
      <w:suff w:val="tab"/>
      <w:lvlText w:val=""/>
      <w:pPr>
        <w:ind w:left="2880" w:hanging="360"/>
        <w:tabs>
          <w:tab w:val="num" w:pos="2880"/>
        </w:tabs>
      </w:pPr>
    </w:lvl>
    <w:lvl w:ilvl="8">
      <w:start w:val="1"/>
      <w:numFmt w:val="bullet"/>
      <w:suff w:val="tab"/>
      <w:lvlText w:val=""/>
      <w:pPr>
        <w:ind w:left="3240" w:hanging="360"/>
        <w:tabs>
          <w:tab w:val="num" w:pos="3240"/>
        </w:tabs>
      </w:pPr>
    </w:lvl>
  </w:abstractNum>
  <w:abstractNum w:abstractNumId="1">
    <w:multiLevelType w:val="singleLevel"/>
    <w:lvl w:ilvl="0">
      <w:start w:val="1"/>
      <w:numFmt w:val="bullet"/>
      <w:suff w:val="tab"/>
      <w:lvlText w:val=""/>
      <w:pPr>
        <w:ind w:left="502" w:hanging="360"/>
        <w:tabs>
          <w:tab w:val="num" w:pos="502"/>
        </w:tabs>
      </w:pPr>
      <w:rPr>
        <w:rFonts w:hint="default" w:ascii="Symbol" w:hAnsi="Symbol" w:eastAsia="Symbol" w:cs="Symbol"/>
        <w:b w:val="on"/>
        <w:i w:val="off"/>
        <w:strike w:val="off"/>
        <w:color w:val="auto"/>
        <w:position w:val="0"/>
        <w:sz w:val="22"/>
        <w:u w:val="none"/>
        <w:shd w:val="clear" w:color="auto" w:fill="auto"/>
      </w:rPr>
    </w:lvl>
  </w:abstractNum>
  <w:abstractNum w:abstractNumId="2">
    <w:multiLevelType w:val="singleLevel"/>
    <w:lvl w:ilvl="0">
      <w:start w:val="1"/>
      <w:numFmt w:val="bullet"/>
      <w:suff w:val="tab"/>
      <w:lvlText w:val=""/>
      <w:pPr>
        <w:ind w:left="502" w:hanging="360"/>
        <w:tabs>
          <w:tab w:val="num" w:pos="502"/>
        </w:tabs>
      </w:pPr>
      <w:rPr>
        <w:rFonts w:hint="default" w:ascii="Symbol" w:hAnsi="Symbol" w:eastAsia="Symbol" w:cs="Symbol"/>
        <w:b w:val="off"/>
        <w:i w:val="off"/>
        <w:strike w:val="off"/>
        <w:color w:val="auto"/>
        <w:position w:val="0"/>
        <w:sz w:val="22"/>
        <w:u w:val="none"/>
        <w:shd w:val="clear" w:color="auto" w:fill="auto"/>
      </w:rPr>
    </w:lvl>
  </w:abstractNum>
  <w:abstractNum w:abstractNumId="3">
    <w:multiLevelType w:val="singleLevel"/>
    <w:lvl w:ilvl="0">
      <w:start w:val="1"/>
      <w:numFmt w:val="bullet"/>
      <w:suff w:val="tab"/>
      <w:lvlText w:val=""/>
      <w:pPr>
        <w:ind w:left="720" w:hanging="360"/>
        <w:tabs>
          <w:tab w:val="num" w:pos="720"/>
        </w:tabs>
      </w:pPr>
      <w:rPr>
        <w:rFonts w:hint="default" w:ascii="Symbol" w:hAnsi="Symbol" w:eastAsia="Symbol" w:cs="Symbol"/>
        <w:b w:val="on"/>
        <w:i w:val="off"/>
        <w:strike w:val="off"/>
        <w:color w:val="auto"/>
        <w:position w:val="0"/>
        <w:sz w:val="22"/>
        <w:u w:val="none"/>
        <w:shd w:val="clear" w:color="auto" w:fill="auto"/>
      </w:rPr>
    </w:lvl>
  </w:abstractNum>
  <w:abstractNum w:abstractNumId="4">
    <w:multiLevelType w:val="singleLevel"/>
    <w:lvl w:ilvl="0">
      <w:start w:val="1"/>
      <w:numFmt w:val="bullet"/>
      <w:suff w:val="tab"/>
      <w:lvlText w:val=""/>
      <w:pPr>
        <w:ind w:left="360" w:hanging="360"/>
        <w:tabs>
          <w:tab w:val="num" w:pos="360"/>
        </w:tabs>
      </w:pPr>
      <w:rPr>
        <w:rFonts w:hint="default" w:ascii="Symbol" w:hAnsi="Symbol" w:eastAsia="Symbol" w:cs="Symbol"/>
        <w:b w:val="off"/>
        <w:i w:val="off"/>
        <w:strike w:val="off"/>
        <w:color w:val="000000"/>
        <w:position w:val="0"/>
        <w:sz w:val="14"/>
        <w:u w:val="none"/>
        <w:shd w:val="clear" w:color="auto" w:fill="auto"/>
      </w:rPr>
    </w:lvl>
  </w:abstractNum>
  <w:abstractNum w:abstractNumId="5">
    <w:multiLevelType w:val="singleLevel"/>
    <w:lvl w:ilvl="0">
      <w:start w:val="1"/>
      <w:numFmt w:val="bullet"/>
      <w:suff w:val="tab"/>
      <w:lvlText w:val=""/>
      <w:pPr>
        <w:ind w:left="360" w:hanging="360"/>
        <w:tabs>
          <w:tab w:val="num" w:pos="360"/>
        </w:tabs>
      </w:pPr>
      <w:rPr>
        <w:rFonts w:hint="default" w:ascii="Symbol" w:hAnsi="Symbol" w:eastAsia="Symbol" w:cs="Symbol"/>
        <w:b w:val="off"/>
        <w:i w:val="off"/>
        <w:strike w:val="off"/>
        <w:color w:val="auto"/>
        <w:position w:val="0"/>
        <w:sz w:val="12"/>
        <w:u w:val="none"/>
        <w:shd w:val="clear" w:color="auto" w:fill="auto"/>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defaultTabStop w:val="1134"/>
  <w:compat>
    <w:noExtraLineSpacing/>
    <w:doNotUseHTMLParagraphAutoSpacing/>
    <w:compatSetting w:name="compatibilityMode" w:uri="http://schemas.microsoft.com/office/word" w:val="15"/>
  </w:compat>
  <tx24:txVer tx24:val="32.0.434.500"/>
</w:settings>
</file>

<file path=word/styles.xml><?xml version="1.0" encoding="utf-8"?>
<w:styles xmlns:w="http://schemas.openxmlformats.org/wordprocessingml/2006/main">
  <w:docDefaults>
    <w:rPrDefault>
      <w:rPr>
        <w:rFonts w:ascii="Arial"/>
        <w:sz w:val="24"/>
      </w:rPr>
    </w:rPrDefault>
  </w:docDefaults>
  <w:style w:type="paragraph" w:styleId="[Normal]" w:customStyle="1">
    <w:name w:val="[Normal]"/>
    <w:basedOn w:val="Normal"/>
    <w:next w:val="[Normal]"/>
    <w:qFormat/>
    <w:pPr>
      <w:widowControl w:val="o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ascii="Arial" w:hAnsi="Arial" w:eastAsia="Arial" w:cs="Arial"/>
      <w:sz w:val="20"/>
      <w:szCs w:val="20"/>
      <w:lang w:val="en-GB" w:eastAsia="en-GB" w:bidi="en-GB"/>
    </w:rPr>
  </w:style>
  <w:style w:type="paragraph" w:styleId="Normal">
    <w:name w:val="Normal"/>
    <w:next w:val="Normal"/>
    <w:qFormat/>
    <w:pPr>
      <w:widowControl w:val="on"/>
      <w:shd w:val="clear" w:color="auto" w:fill="auto"/>
      <w:spacing w:before="0" w:after="0" w:line="240" w:lineRule="auto"/>
      <w:ind w:left="0" w:right="0" w:firstLine="0"/>
      <w:jc w:val="left"/>
      <w:outlineLvl w:val="9"/>
    </w:pPr>
    <w:rPr>
      <w:rFonts w:ascii="Times New Roman" w:hAnsi="Times New Roman" w:eastAsia="Times New Roman" w:cs="Times New Roman"/>
      <w:b w:val="off"/>
      <w:bCs w:val="off"/>
      <w:i w:val="off"/>
      <w:iCs w:val="off"/>
      <w:caps w:val="off"/>
      <w:smallCaps w:val="off"/>
      <w:strike w:val="off"/>
      <w:color w:val="auto"/>
      <w:spacing w:val="0"/>
      <w:w w:val="100"/>
      <w:position w:val="0"/>
      <w:sz w:val="24"/>
      <w:szCs w:val="24"/>
      <w:shd w:val="clear" w:color="auto" w:fill="auto"/>
      <w:vertAlign w:val="baseline"/>
      <w:rtl w:val="off"/>
      <w:lang w:val="en-GB" w:eastAsia="en-GB" w:bidi="en-GB"/>
    </w:rPr>
  </w:style>
  <w:style w:type="paragraph" w:styleId="Header">
    <w:name w:val="header"/>
    <w:basedOn w:val="Normal"/>
    <w:next w:val="Header"/>
    <w:qFormat/>
    <w:pPr>
      <w:tabs>
        <w:tab w:val="center" w:pos="4320"/>
        <w:tab w:val="right" w:pos="8640"/>
      </w:tabs>
    </w:pPr>
    <w:rPr>
      <w:lang w:val="en-GB" w:eastAsia="en-GB" w:bidi="en-GB"/>
    </w:rPr>
  </w:style>
  <w:style w:type="paragraph" w:styleId="Footer">
    <w:name w:val="footer"/>
    <w:basedOn w:val="Normal"/>
    <w:next w:val="Footer"/>
    <w:qFormat/>
    <w:pPr>
      <w:tabs>
        <w:tab w:val="center" w:pos="4320"/>
        <w:tab w:val="right" w:pos="8640"/>
      </w:tabs>
    </w:pPr>
    <w:rPr>
      <w:lang w:val="en-GB" w:eastAsia="en-GB" w:bidi="en-GB"/>
    </w:rPr>
  </w:style>
  <w:style w:type="paragraph" w:styleId="Heading3">
    <w:name w:val="heading 3"/>
    <w:basedOn w:val="Normal"/>
    <w:next w:val="Normal"/>
    <w:qFormat/>
    <w:pPr>
      <w:keepNext/>
      <w:jc w:val="center"/>
      <w:outlineLvl w:val="2"/>
    </w:pPr>
    <w:rPr>
      <w:rFonts w:ascii="Arial" w:hAnsi="Arial" w:eastAsia="Arial" w:cs="Arial"/>
      <w:b/>
      <w:bCs/>
      <w:u w:val="single"/>
      <w:lang w:val="en-GB" w:eastAsia="en-GB" w:bidi="en-GB"/>
    </w:rPr>
  </w:style>
  <w:style w:type="paragraph" w:styleId="ListParagraph">
    <w:name w:val="List Paragraph"/>
    <w:basedOn w:val="Normal"/>
    <w:next w:val="ListParagraph"/>
    <w:qFormat/>
    <w:pPr>
      <w:spacing w:after="200" w:line="276" w:lineRule="auto"/>
      <w:ind w:left="720"/>
    </w:pPr>
    <w:rPr>
      <w:rFonts w:ascii="Calibri" w:hAnsi="Calibri" w:eastAsia="Calibri" w:cs="Calibri"/>
      <w:sz w:val="22"/>
      <w:szCs w:val="22"/>
      <w:lang w:val="en-GB" w:eastAsia="en-GB" w:bidi="en-GB"/>
    </w:rPr>
  </w:style>
  <w:style w:type="paragraph" w:styleId="Heading1">
    <w:name w:val="heading 1"/>
    <w:basedOn w:val="Normal"/>
    <w:next w:val="Normal"/>
    <w:qFormat/>
    <w:pPr>
      <w:keepNext/>
      <w:outlineLvl w:val="0"/>
    </w:pPr>
    <w:rPr>
      <w:rFonts w:ascii="Arial" w:hAnsi="Arial" w:eastAsia="Arial" w:cs="Arial"/>
      <w:u w:val="single"/>
      <w:lang w:val="en-GB" w:eastAsia="en-GB" w:bidi="en-GB"/>
    </w:rPr>
  </w:style>
  <w:style w:type="paragraph" w:styleId="Heading2">
    <w:name w:val="heading 2"/>
    <w:basedOn w:val="Normal"/>
    <w:next w:val="Normal"/>
    <w:qFormat/>
    <w:pPr>
      <w:keepNext/>
      <w:jc w:val="center"/>
      <w:outlineLvl w:val="1"/>
    </w:pPr>
    <w:rPr>
      <w:rFonts w:ascii="Arial" w:hAnsi="Arial" w:eastAsia="Arial" w:cs="Arial"/>
      <w:b/>
      <w:bCs/>
      <w:lang w:val="en-GB" w:eastAsia="en-GB" w:bidi="en-GB"/>
    </w:rPr>
  </w:style>
  <w:style w:type="paragraph" w:styleId="Heading4">
    <w:name w:val="heading 4"/>
    <w:basedOn w:val="Normal"/>
    <w:next w:val="Normal"/>
    <w:qFormat/>
    <w:pPr>
      <w:keepNext/>
      <w:outlineLvl w:val="3"/>
    </w:pPr>
    <w:rPr>
      <w:rFonts w:ascii="Arial" w:hAnsi="Arial" w:eastAsia="Arial" w:cs="Arial"/>
      <w:b/>
      <w:bCs/>
      <w:u w:val="single"/>
      <w:lang w:val="en-GB" w:eastAsia="en-GB" w:bidi="en-GB"/>
    </w:rPr>
  </w:style>
  <w:style w:type="paragraph" w:styleId="Heading5">
    <w:name w:val="heading 5"/>
    <w:basedOn w:val="Normal"/>
    <w:next w:val="Normal"/>
    <w:qFormat/>
    <w:pPr>
      <w:keepNext/>
      <w:outlineLvl w:val="4"/>
    </w:pPr>
    <w:rPr>
      <w:rFonts w:ascii="Arial" w:hAnsi="Arial" w:eastAsia="Arial" w:cs="Arial"/>
      <w:b/>
      <w:bCs/>
      <w:lang w:val="en-GB" w:eastAsia="en-GB" w:bidi="en-GB"/>
    </w:rPr>
  </w:style>
  <w:style w:type="paragraph" w:styleId="p12" w:customStyle="1">
    <w:name w:val="p12"/>
    <w:basedOn w:val="Normal"/>
    <w:next w:val="p12"/>
    <w:qFormat/>
    <w:pPr>
      <w:widowControl w:val="off"/>
      <w:spacing w:line="280" w:lineRule="atLeast"/>
      <w:ind w:left="720" w:hanging="720"/>
    </w:pPr>
    <w:rPr>
      <w:lang w:val="en-GB" w:eastAsia="en-GB" w:bidi="en-GB"/>
    </w:rPr>
  </w:style>
  <w:style w:type="paragraph" w:styleId="Medium Grid 1 - Accent 21" w:customStyle="1">
    <w:name w:val="Medium Grid 1 - Accent 21"/>
    <w:basedOn w:val="Normal"/>
    <w:next w:val="Medium Grid 1 - Accent 21"/>
    <w:qFormat/>
    <w:pPr>
      <w:ind w:left="720"/>
    </w:pPr>
    <w:rPr>
      <w:lang w:val="en-GB" w:eastAsia="en-GB" w:bidi="en-GB"/>
    </w:rPr>
  </w:style>
  <w:style w:type="paragraph" w:styleId="Colorful List - Accent 11" w:customStyle="1">
    <w:name w:val="Colorful List - Accent 11"/>
    <w:basedOn w:val="Normal"/>
    <w:next w:val="Colorful List - Accent 11"/>
    <w:qFormat/>
    <w:pPr>
      <w:ind w:left="720"/>
    </w:pPr>
    <w:rPr>
      <w:lang w:val="en-GB" w:eastAsia="en-GB" w:bidi="en-GB"/>
    </w:rPr>
  </w:style>
  <w:style w:type="paragraph" w:styleId="BalloonText">
    <w:name w:val="Balloon Text"/>
    <w:basedOn w:val="Normal"/>
    <w:next w:val="BalloonText"/>
    <w:qFormat/>
    <w:pPr/>
    <w:rPr>
      <w:rFonts w:ascii="Tahoma" w:hAnsi="Tahoma" w:eastAsia="Tahoma" w:cs="Tahoma"/>
      <w:sz w:val="16"/>
      <w:szCs w:val="16"/>
      <w:lang w:val="en-GB" w:eastAsia="en-GB" w:bidi="en-GB"/>
    </w:rPr>
  </w:style>
  <w:style w:type="paragraph" w:styleId="CommentText">
    <w:name w:val="annotation text"/>
    <w:basedOn w:val="Normal"/>
    <w:next w:val="CommentText"/>
    <w:qFormat/>
    <w:pPr/>
    <w:rPr>
      <w:sz w:val="20"/>
      <w:szCs w:val="20"/>
      <w:lang w:val="en-GB" w:eastAsia="en-GB" w:bidi="en-GB"/>
    </w:rPr>
  </w:style>
  <w:style w:type="paragraph" w:styleId="CommentSubject">
    <w:name w:val="annotation subject"/>
    <w:basedOn w:val="CommentText"/>
    <w:next w:val="CommentText"/>
    <w:qFormat/>
    <w:pPr/>
    <w:rPr>
      <w:b/>
      <w:bCs/>
      <w:lang w:val="en-GB" w:eastAsia="en-GB" w:bidi="en-GB"/>
    </w:rPr>
  </w:style>
  <w:style w:type="paragraph" w:styleId="NormalWeb">
    <w:name w:val="Normal (Web)"/>
    <w:basedOn w:val="Normal"/>
    <w:next w:val="NormalWeb"/>
    <w:qFormat/>
    <w:pPr/>
    <w:rPr>
      <w:lang w:val="en-GB" w:eastAsia="en-GB" w:bidi="en-GB"/>
    </w:rPr>
  </w:style>
  <w:style w:type="paragraph" w:styleId="Default" w:customStyle="1">
    <w:name w:val="Default"/>
    <w:basedOn w:val="[Normal]"/>
    <w:next w:val="Default"/>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color w:val="000000"/>
      <w:sz w:val="24"/>
      <w:szCs w:val="24"/>
      <w:lang w:val="en-GB" w:eastAsia="en-GB" w:bidi="en-GB"/>
    </w:rPr>
  </w:style>
  <w:style w:type="character" w:styleId="CommentReference">
    <w:name w:val="annotation reference"/>
    <w:qFormat/>
    <w:rPr>
      <w:sz w:val="16"/>
      <w:szCs w:val="16"/>
      <w:rtl w:val="off"/>
    </w:rPr>
  </w:style>
  <w:style w:type="character" w:styleId="Comment Text Char" w:customStyle="1">
    <w:name w:val="Comment Text Char"/>
    <w:qFormat/>
    <w:rPr>
      <w:rtl w:val="off"/>
      <w:lang w:val="en-GB" w:eastAsia="en-GB" w:bidi="en-GB"/>
    </w:rPr>
  </w:style>
  <w:style w:type="character" w:styleId="Comment Subject Char" w:customStyle="1">
    <w:name w:val="Comment Subject Char"/>
    <w:basedOn w:val="Comment Text Char"/>
    <w:qFormat/>
    <w:rPr>
      <w:b/>
      <w:bCs/>
      <w:lang w:val="en-GB" w:eastAsia="en-GB" w:bidi="en-GB"/>
    </w:rPr>
  </w:style>
  <w:style w:type="character" w:styleId="Hyperlink">
    <w:name w:val="Hyperlink"/>
    <w:qFormat/>
    <w:rPr>
      <w:color w:val="0000FF"/>
      <w:u w:val="single"/>
      <w:rtl w:val="off"/>
    </w:rPr>
  </w:style>
  <w:style w:type="character" w:styleId="UnresolvedMention">
    <w:name w:val="Unresolved Mention"/>
    <w:qFormat/>
    <w:rPr>
      <w:color w:val="605E5C"/>
      <w:shd w:val="clear" w:color="auto" w:fill="E1DFDD"/>
      <w:rtl w:val="off"/>
    </w:rPr>
  </w:style>
  <w:style w:type="character" w:styleId="Heading 4 Char" w:customStyle="1">
    <w:name w:val="Heading 4 Char"/>
    <w:qFormat/>
    <w:rPr>
      <w:rFonts w:ascii="Arial" w:hAnsi="Arial" w:eastAsia="Arial" w:cs="Arial"/>
      <w:b/>
      <w:bCs/>
      <w:sz w:val="24"/>
      <w:szCs w:val="24"/>
      <w:u w:val="single"/>
      <w:rtl w:val="off"/>
      <w:lang w:val="en-GB" w:eastAsia="en-GB" w:bidi="en-GB"/>
    </w:rPr>
  </w:style>
  <w:style w:type="character" w:styleId="Balloon Text Char" w:customStyle="1">
    <w:name w:val="Balloon Text Char"/>
    <w:qFormat/>
    <w:rPr>
      <w:rFonts w:ascii="Tahoma" w:hAnsi="Tahoma" w:eastAsia="Tahoma" w:cs="Tahoma"/>
      <w:sz w:val="16"/>
      <w:szCs w:val="16"/>
      <w:rtl w:val="off"/>
      <w:lang w:val="en-GB" w:eastAsia="en-GB" w:bidi="en-GB"/>
    </w:rPr>
  </w:style>
  <w:style w:type="paragraph" w:styleId="Revision">
    <w:name w:val="Revision"/>
    <w:basedOn w:val="[Normal]"/>
    <w:next w:val="Revision"/>
    <w:qFormat/>
    <w:pPr>
      <w:widowControl w:val="on"/>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Times New Roman" w:hAnsi="Times New Roman" w:eastAsia="Times New Roman" w:cs="Times New Roman"/>
      <w:sz w:val="24"/>
      <w:szCs w:val="24"/>
      <w:lang w:val="en-GB" w:eastAsia="en-GB" w:bidi="en-GB"/>
    </w:rPr>
  </w:style>
</w:styles>
</file>

<file path=word/_rels/document.xml.rels><?xml version="1.0" encoding="UTF-8" standalone="yes"?><Relationships xmlns="http://schemas.openxmlformats.org/package/2006/relationships">
	<Relationship Id="rId00005" Type="http://schemas.openxmlformats.org/officeDocument/2006/relationships/styles" Target="styles.xml"/>
	<Relationship Id="rId00007" Type="http://schemas.openxmlformats.org/officeDocument/2006/relationships/header" Target="header0001.xml"/>
	<Relationship Id="rId00008" Type="http://schemas.openxmlformats.org/officeDocument/2006/relationships/footer" Target="footer0001.xml"/>
	<Relationship Id="rId00009" Type="http://schemas.openxmlformats.org/officeDocument/2006/relationships/header" Target="header0001_first.xml"/>
	<Relationship Id="rId00010" Type="http://schemas.openxmlformats.org/officeDocument/2006/relationships/footer" Target="footer0001_first.xml"/>
	<Relationship Id="rId00011" Type="http://schemas.openxmlformats.org/officeDocument/2006/relationships/numbering" Target="numbering.xml"/>
	<Relationship Id="rId00012" Type="http://schemas.openxmlformats.org/officeDocument/2006/relationships/fontTable" Target="fontTable.xml"/>
	<Relationship Id="rId00013" Type="http://schemas.openxmlformats.org/officeDocument/2006/relationships/settings" Target="settings.xml"/>
</Relationships>
</file>

<file path=word/_rels/header0001_first.xml.rels><?xml version="1.0" encoding="UTF-8" standalone="yes"?><Relationships xmlns="http://schemas.openxmlformats.org/package/2006/relationships">
	<Relationship Id="rId00006" Type="http://schemas.openxmlformats.org/officeDocument/2006/relationships/image" Target="media/image0001.png"/>
</Relationships>
</file>

<file path=docProps/app.xml><?xml version="1.0" encoding="utf-8"?>
<Properties xmlns="http://schemas.openxmlformats.org/officeDocument/2006/extended-properties" xmlns:vt="http://schemas.openxmlformats.org/officeDocument/2006/docPropsVTypes">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 and guidance</dc:title>
  <dc:creator>Charlotte Cowan</dc:creator>
  <dcterms:created xsi:type="dcterms:W3CDTF">2025-05-06T16:31:00Z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bool>false</vt:bool>
  </property>
  <property fmtid="{D5CDD505-2E9C-101B-9397-08002B2CF9AE}" pid="3" name="Zoogle Topic">
    <vt:lpwstr>39;#Working at ZSL|056a4b02-b401-44f2-9d48-66e1cd174674;#9;#Managing our people|1418240b-1ec6-46ab-8294-8e7c0cd8ecd4</vt:lpwstr>
  </property>
  <property fmtid="{D5CDD505-2E9C-101B-9397-08002B2CF9AE}" pid="4" name="Team">
    <vt:lpwstr>5;#HR|12cf6d2f-e5d5-4afc-acb4-2881efab8e57</vt:lpwstr>
  </property>
  <property fmtid="{D5CDD505-2E9C-101B-9397-08002B2CF9AE}" pid="5" name="Document language">
    <vt:lpwstr>1;#English|8e6f1ede-5386-4ba2-be58-056b572f25ee</vt:lpwstr>
  </property>
  <property fmtid="{D5CDD505-2E9C-101B-9397-08002B2CF9AE}" pid="6" name="ContentTypeId">
    <vt:lpwstr>0x010100EB808F3222988943B71C3DE5ECE47F81</vt:lpwstr>
  </property>
</Properties>
</file>